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EC3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855EC3" w:rsidRDefault="00855EC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855EC3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5EC3" w:rsidRDefault="00855E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EC3" w:rsidRDefault="00855EC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ВС РФ: для работников учреждения можно предусмотреть стимулирующую выплату за совмещение должностей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при совмещении должностей работникам могут начисляться стимулирующие выплаты при условии, что это не противоречит актам вышестоящих органов.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Верховный суд в </w:t>
            </w:r>
            <w:hyperlink r:id="rId10" w:history="1">
              <w:r>
                <w:rPr>
                  <w:rStyle w:val="a4"/>
                  <w:color w:val="0000FF"/>
                </w:rPr>
                <w:t>Определении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12.04.2021 по делу № А11-7985/2019 поддержал медучреждение, признав правомерным начисление работникам стимулирующих выплат за совмещение должностей, и </w:t>
            </w:r>
            <w:hyperlink r:id="rId11" w:history="1">
              <w:r>
                <w:rPr>
                  <w:rStyle w:val="a4"/>
                  <w:color w:val="0000FF"/>
                </w:rPr>
                <w:t>подтвердил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нарушения в данных выплатах нет.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Медучреждение установило в локальных актах стимулирующую выплату при совмещении должностей. Ее </w:t>
            </w:r>
            <w:hyperlink r:id="rId12" w:history="1">
              <w:r>
                <w:rPr>
                  <w:rStyle w:val="a4"/>
                  <w:color w:val="0000FF"/>
                </w:rPr>
                <w:t>назначали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 фиксированном размере пропорционально времени работы по основной должности и с учетом других критериев.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history="1">
              <w:r>
                <w:rPr>
                  <w:rStyle w:val="a4"/>
                  <w:color w:val="0000FF"/>
                </w:rPr>
                <w:t>Акт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вышестоящего органа </w:t>
            </w:r>
            <w:hyperlink r:id="rId14" w:history="1">
              <w:r>
                <w:rPr>
                  <w:rStyle w:val="a4"/>
                  <w:color w:val="0000FF"/>
                </w:rPr>
                <w:t>предусматривал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стимулирующие выплаты, а право определять критерии для их назначения оставлял за учреждением. Про совмещение в нем ничего не говорилось.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проверке ТФОМС посчитал выплаты нецелевым использованием средств ОМС. Контролеры </w:t>
            </w:r>
            <w:hyperlink r:id="rId15" w:history="1">
              <w:r>
                <w:rPr>
                  <w:rStyle w:val="a4"/>
                  <w:color w:val="0000FF"/>
                </w:rPr>
                <w:t>полагали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при совмещении должностей работники вправе получать только </w:t>
            </w:r>
            <w:hyperlink r:id="rId16" w:history="1">
              <w:r>
                <w:rPr>
                  <w:rStyle w:val="a4"/>
                  <w:color w:val="0000FF"/>
                </w:rPr>
                <w:t>компенсационную выплату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Стимулирующие суммы учреждение могло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начислять только по основной должности.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Суд первой инстанции </w:t>
            </w:r>
            <w:hyperlink r:id="rId17" w:history="1">
              <w:r>
                <w:rPr>
                  <w:rStyle w:val="a4"/>
                  <w:color w:val="0000FF"/>
                </w:rPr>
                <w:t>поддержал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Фонд, однако вышестоящие суды </w:t>
            </w:r>
            <w:hyperlink r:id="rId18" w:history="1">
              <w:r>
                <w:rPr>
                  <w:rStyle w:val="a4"/>
                  <w:color w:val="0000FF"/>
                </w:rPr>
                <w:t>встали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на сторону учреждения. ВС РФ </w:t>
            </w:r>
            <w:hyperlink r:id="rId19" w:history="1">
              <w:r>
                <w:rPr>
                  <w:rStyle w:val="a4"/>
                  <w:color w:val="0000FF"/>
                </w:rPr>
                <w:t>подтвердил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нарушения в данных выплатах нет.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Полагаем, эту позицию могут учитывать все учреждения. Однако при назначении выплаты необходимо убедиться, что такое решение не противоречит </w:t>
            </w:r>
            <w:hyperlink r:id="rId20" w:history="1">
              <w:r>
                <w:rPr>
                  <w:rStyle w:val="a4"/>
                  <w:color w:val="0000FF"/>
                </w:rPr>
                <w:t>актам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вышестоящих органов.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Может ли директор учреждения сам выписывать себе премии: знакомимся с позицией суда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начисление премиальных выплат директору учреждения без согласия и соответствующих распоряжений учредителя незаконно.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 Ханты-Мансийского автономного округа – Югры в </w:t>
            </w:r>
            <w:hyperlink r:id="rId23" w:history="1">
              <w:r>
                <w:rPr>
                  <w:rStyle w:val="a4"/>
                  <w:color w:val="0000FF"/>
                </w:rPr>
                <w:t>Апелляционном определении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23.03.2021 по делу № 33-1811/2021, 2-505/2020 признал премиальные выплаты директору учреждения незаконным обогащением.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Трудовой договор с директором не предусматривал выплату премии. Назначить ее мог только работодатель – местная администрация по результатам оценки деятельности учреждения комиссией. Однако директор сам издавал приказы о своем премировании. Суд признал их незаконными, поскольку: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учреждение не предоставляло в администрацию отчеты о выполнении показателей эффективности деятельности;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комиссия результаты его работы не оценивала;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администрация распоряжения о премировании не издавала.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Незаконно полученные директором премии в сумме более 500 тыс. руб. суд посчитал неосновательным обогащением и взыскал их в пользу учреждения.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#a0a0a0" stroked="f"/>
              </w:pic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EC3" w:rsidRDefault="00855EC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Казначейство России дополнительно разъяснило особенности ведения казначейского учета в 2021 году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осуществление и отражение операций в казначейском учете ТОФК необходимо осуществлять, руководствуясь дополнительными разъяснениями Казначейства.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Казначейство России в </w:t>
            </w:r>
            <w:hyperlink r:id="rId26" w:history="1">
              <w:r>
                <w:rPr>
                  <w:rStyle w:val="a4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29.04.2021 № 07-04-05/02-10133 дало дополнительные разъяснения, касающиеся особенностей ведения казначейского учета в 2021 году. В </w:t>
            </w:r>
            <w:hyperlink r:id="rId27" w:history="1">
              <w:r>
                <w:rPr>
                  <w:rStyle w:val="a4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приводится </w:t>
            </w:r>
            <w:hyperlink r:id="rId28" w:history="1">
              <w:r>
                <w:rPr>
                  <w:rStyle w:val="a4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отражения в казначейском учете ТОФК операций по привлечению на единые счета бюджетов субъектов РФ (местных бюджетов) денежных средств с казначейских счетов для осуществления и отражения операций: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 денежными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РФ (местных бюджетов), операции по которым учитываются на лицевых счетах, открытых в финансовых органах субъектов РФ (муниципальных образований), а также возврату указанных денежных средств с единых счетов бюджетов субъектов РФ (местных бюджетов) на соответствующие казначейские счета;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со средствами, поступающими во временное распоряжение получателей средств бюджетов субъектов (местных бюджетов), операции по которым учитываются на лицевых счетах, открытых в финансовых органах субъектов РФ (муниципальных образований), а также возврату указанных денежных средств с единых счетов бюджетов субъектов РФ (местных бюджетов) на соответствующие казначейские счета.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Предусматривается, что ведение ТОФК обособленного казначейского учета данных единого казначейского счета на основании итоговых выписок (извещений) по счетам, открытым ТОФК в подразделениях Банка России и кредитных организациях на балансовом счете 40102 «Единый казначейский счет», в соответствии с положениями </w:t>
            </w:r>
            <w:hyperlink r:id="rId29" w:history="1">
              <w:r>
                <w:rPr>
                  <w:rStyle w:val="a4"/>
                  <w:color w:val="0000FF"/>
                </w:rPr>
                <w:t>Письма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казначейства от 31.12.2020 № 07-04-05/02-28157 осуществляется после доработки информационной системы «Автоматизированная система Федерального казначейства», запланированной к реализации в составе версии 032.007.000Т18 (дата выпуска в промышленную эксплуатацию 26.04.2021).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Федеральное казначейство считает возможным осуществить отражение в казначейском учете ТОФК итоговых сумм поступлений и выбытий средств единого казначейского счета, отраженных в выписках по ЕКС с начала текущего финансового года до даты начала эксплуатации соответствующего доработанного функционала датой текущего операционного дня на основании Бухгалтерской справки </w:t>
            </w:r>
            <w:hyperlink r:id="rId30" w:history="1">
              <w:r>
                <w:rPr>
                  <w:rStyle w:val="a4"/>
                  <w:color w:val="0000FF"/>
                </w:rPr>
                <w:t>(ф. 0504833)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#a0a0a0" stroked="f"/>
              </w:pic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31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Как провести инвентаризацию нематериальных активов в целях перехода на применение СГС «Нематериальные активы»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связи с применением с 1 января 2021 года СГС «Нематериальные активы» государственным (муниципальным) бюджетным и автономным учреждениям для достоверного определения наличия НМА необходимо провести инвентаризацию.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Казначейство России в </w:t>
            </w:r>
            <w:hyperlink r:id="rId33" w:history="1">
              <w:r>
                <w:rPr>
                  <w:rStyle w:val="a4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29.04.2021 № 07-04-05/08-10062 разъяснило порядок применения федерального стандарта бухгалтерского учета госфинансов «Нематериальные активы» (напомним: СГС «Нематериальные активы» применяется с 01.01.2021). Так, признание объектов бухгалтерского учета, ранее не признававшихся в составе нематериальных активов и (или) отраженных на забалансовом учете, в составе группы нефинансовых активов «Нематериальные активы» осуществляется по результатам инвентаризации, проводимой субъектом учета в целях выявления таких объектов бухгалтерского учета.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Письмами Минфина России от 30.11.2020 № </w:t>
            </w:r>
            <w:hyperlink r:id="rId34" w:history="1">
              <w:r>
                <w:rPr>
                  <w:rStyle w:val="a4"/>
                  <w:color w:val="0000FF"/>
                </w:rPr>
                <w:t>02-07-07/104384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от 02.04.2021 № </w:t>
            </w:r>
            <w:hyperlink r:id="rId35" w:history="1">
              <w:r>
                <w:rPr>
                  <w:rStyle w:val="a4"/>
                  <w:color w:val="0000FF"/>
                </w:rPr>
                <w:t>02-07-07/25218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были направлены Методические рекомендации по применению СГС «Нематериальные активы».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Согласно Методическим рекомендациям объекты бухгалтерского учета, ранее не признававшиеся в составе нематериальных активов и (или) отраженные на забалансовом учете, признаются в составе группы нефинансовых активов «Нематериальные активы» по результатам инвентаризации.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этой связи субъекту учета необходимо обеспечить проведение инвентаризации нематериальных активов, в отношении которых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актив, и оформить соответствующее решение инвентаризационной комиссии либо комиссии по поступлению и выбытию активов.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сообщается о необходимости завершить вышеуказанные мероприятия до конца 2021 года.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#a0a0a0" stroked="f"/>
              </w:pic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36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Как оформлять путевки и абонементы для освобождения от обложения НДС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воспользоваться разъяснениями ФНС при оформлении путевок в целях освобождения от НДС услуг санаторно-курортных организаций, а также организаций отдыха и оздоровления детей.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8" w:history="1">
              <w:r>
                <w:rPr>
                  <w:rStyle w:val="a4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07.05.2021 даны разъяснения, как оформлять путевки и абонементы для освобождения от обложения НДС.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Указанные услуги не подлежат обложению НДС при условии: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выдачи билета в виде бланка строгой отчетности (БСО);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одновременной выдачи билета установленной формы и кассового чека (БСО).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Обращено внимание на то, что отпечатанные типографским способом или на принтере путевка или абонемент не являются БСО.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реализации таких услуг должны соблюдаться правила применения ККТ: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БСО может быть оформлен с помощью онлайн-кассы. При этом в нем могут быть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указаны дополнительные реквизиты с учетом сферы деятельности, в которой ведутся расчеты. То есть содержимое туристской путевки погружается в БСО, сформированный ККТ;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турпутевка может быть оформлена одновременно с выдачей кассового чека;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БСО может быть оформлен в виде утвержденной формы бланка документа с нанесением на него QR-кода, сформированного ККТ.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Кассовый чек может быть выдан клиенту в виде документа с содержащимися на нем реквизитами чека (БСО): QR-кодом и (или) датой и временем расчета, порядковым номером фискального документа, признаком расчета, его суммой, заводским номером фискального накопителя и фискальным признаком документа.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467.75pt;height:.75pt" o:hralign="center" o:hrstd="t" o:hr="t" fillcolor="#a0a0a0" stroked="f"/>
              </w:pic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EC3" w:rsidRDefault="00855EC3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4"/>
                  <w:b/>
                  <w:bCs/>
                  <w:color w:val="555555"/>
                  <w:sz w:val="27"/>
                  <w:szCs w:val="27"/>
                </w:rPr>
                <w:t xml:space="preserve">Вправе ли налоговый орган в составе годовой отчетности кроме формы 0503130 требовать представление еще формы 0503121? </w:t>
              </w:r>
            </w:hyperlink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5EC3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55EC3" w:rsidRDefault="00855EC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налоговая инспекция может потребовать представить любые формы бюджетной отчетности, предусмотренные Инструкцией № 191н. </w:t>
                  </w:r>
                </w:p>
              </w:tc>
            </w:tr>
          </w:tbl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855EC3" w:rsidRDefault="00855EC3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41" w:history="1">
              <w:r>
                <w:rPr>
                  <w:rStyle w:val="a4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28.03.2013 № 02-06-07/9937 в налоговый орган получатель бюджетных средств представляет только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2" w:history="1">
              <w:r>
                <w:rPr>
                  <w:rStyle w:val="a4"/>
                  <w:color w:val="0000FF"/>
                </w:rPr>
                <w:t>(ф. 0503130)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В данном случае представление </w:t>
            </w:r>
            <w:hyperlink r:id="rId43" w:history="1">
              <w:r>
                <w:rPr>
                  <w:rStyle w:val="a4"/>
                  <w:color w:val="0000FF"/>
                </w:rPr>
                <w:t>ф. 0503130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является установленной обязанностью получателя бюджетных средств.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Вместе с тем согласно </w:t>
            </w:r>
            <w:hyperlink r:id="rId44" w:history="1">
              <w:r>
                <w:rPr>
                  <w:rStyle w:val="a4"/>
                  <w:color w:val="0000FF"/>
                </w:rPr>
                <w:t>подп. 5.1 п. 1 ст. 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годовую бухгалтерскую (финансовую) отчетность в налоговый орган по месту своего нахождения обязаны представлять налогоплательщики, в том числе организации бюджетной сферы.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требованиями </w:t>
            </w:r>
            <w:hyperlink r:id="rId45" w:history="1">
              <w:r>
                <w:rPr>
                  <w:rStyle w:val="a4"/>
                  <w:color w:val="0000FF"/>
                </w:rPr>
                <w:t>п. 11.1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191н отчет </w:t>
            </w:r>
            <w:hyperlink r:id="rId46" w:history="1">
              <w:r>
                <w:rPr>
                  <w:rStyle w:val="a4"/>
                  <w:color w:val="0000FF"/>
                </w:rPr>
                <w:t>ф. 0503121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входит в состав бюджетной отчетности получателя бюджетных средств наряду с иными установленными формами бюджетной отчетности.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 основании вышеизложенного налоговая инспекция вправе потребовать представления любых форм бюджетной отчетности, предусмотренных </w:t>
            </w:r>
            <w:hyperlink r:id="rId47" w:history="1">
              <w:r>
                <w:rPr>
                  <w:rStyle w:val="a4"/>
                  <w:color w:val="0000FF"/>
                </w:rPr>
                <w:t>Инструкцией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191н, включая отчет </w:t>
            </w:r>
            <w:hyperlink r:id="rId48" w:history="1">
              <w:r>
                <w:rPr>
                  <w:rStyle w:val="a4"/>
                  <w:color w:val="0000FF"/>
                </w:rPr>
                <w:t>ф. 0503121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855EC3" w:rsidRDefault="00855EC3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следует учитывать, что согласно </w:t>
            </w:r>
            <w:hyperlink r:id="rId49" w:history="1">
              <w:r>
                <w:rPr>
                  <w:rStyle w:val="a4"/>
                  <w:color w:val="0000FF"/>
                </w:rPr>
                <w:t>пп.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50" w:history="1">
              <w:r>
                <w:rPr>
                  <w:rStyle w:val="a4"/>
                  <w:color w:val="0000FF"/>
                </w:rPr>
                <w:t>24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</w:t>
            </w:r>
            <w:hyperlink r:id="rId51" w:history="1">
              <w:r>
                <w:rPr>
                  <w:rStyle w:val="a4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31.12.2016 № 260н, данный отчет относится к отчетности общего назначения и 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соответствии с требованиями </w:t>
            </w:r>
            <w:hyperlink r:id="rId52" w:history="1">
              <w:r>
                <w:rPr>
                  <w:rStyle w:val="a4"/>
                  <w:color w:val="0000FF"/>
                </w:rPr>
                <w:t>п. 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ФСБУ «Представление бухгалтерской (финансовой) отчетности» и </w:t>
            </w:r>
            <w:hyperlink r:id="rId53" w:history="1">
              <w:r>
                <w:rPr>
                  <w:rStyle w:val="a4"/>
                  <w:color w:val="0000FF"/>
                </w:rPr>
                <w:t>п. 67.2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Показателей структурированной информации об учреждении (Приложение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Минфина России от 21.07.2011 № 86н), указанная </w:t>
            </w:r>
            <w:hyperlink r:id="rId54" w:history="1">
              <w:r>
                <w:rPr>
                  <w:rStyle w:val="a4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отчета подлежит публикации в сети Интернет в рамках размещения бухгалтерской (финансовой) отчетности общего назначения (раскрытия ее показателей). </w:t>
            </w:r>
          </w:p>
        </w:tc>
      </w:tr>
      <w:tr w:rsidR="00855EC3" w:rsidTr="00855EC3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855EC3" w:rsidRDefault="00855E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3E73" w:rsidRPr="00D33E73" w:rsidRDefault="00D33E73" w:rsidP="003C2A05">
      <w:bookmarkStart w:id="0" w:name="_GoBack"/>
      <w:bookmarkEnd w:id="0"/>
    </w:p>
    <w:sectPr w:rsidR="00D33E73" w:rsidRPr="00D3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B32"/>
    <w:multiLevelType w:val="multilevel"/>
    <w:tmpl w:val="072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5"/>
    <w:rsid w:val="001F71FC"/>
    <w:rsid w:val="00275B9F"/>
    <w:rsid w:val="003B5C75"/>
    <w:rsid w:val="003C2A05"/>
    <w:rsid w:val="0050707F"/>
    <w:rsid w:val="00643A8D"/>
    <w:rsid w:val="00855EC3"/>
    <w:rsid w:val="008D0ABC"/>
    <w:rsid w:val="00B168D6"/>
    <w:rsid w:val="00D33E73"/>
    <w:rsid w:val="00E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E73"/>
    <w:rPr>
      <w:b/>
      <w:bCs/>
    </w:rPr>
  </w:style>
  <w:style w:type="character" w:styleId="a4">
    <w:name w:val="Hyperlink"/>
    <w:basedOn w:val="a0"/>
    <w:uiPriority w:val="99"/>
    <w:semiHidden/>
    <w:unhideWhenUsed/>
    <w:rsid w:val="00855EC3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855E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855EC3"/>
  </w:style>
  <w:style w:type="paragraph" w:styleId="a6">
    <w:name w:val="Balloon Text"/>
    <w:basedOn w:val="a"/>
    <w:link w:val="a7"/>
    <w:uiPriority w:val="99"/>
    <w:semiHidden/>
    <w:unhideWhenUsed/>
    <w:rsid w:val="008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3E73"/>
    <w:rPr>
      <w:b/>
      <w:bCs/>
    </w:rPr>
  </w:style>
  <w:style w:type="character" w:styleId="a4">
    <w:name w:val="Hyperlink"/>
    <w:basedOn w:val="a0"/>
    <w:uiPriority w:val="99"/>
    <w:semiHidden/>
    <w:unhideWhenUsed/>
    <w:rsid w:val="00855EC3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855E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855EC3"/>
  </w:style>
  <w:style w:type="paragraph" w:styleId="a6">
    <w:name w:val="Balloon Text"/>
    <w:basedOn w:val="a"/>
    <w:link w:val="a7"/>
    <w:uiPriority w:val="99"/>
    <w:semiHidden/>
    <w:unhideWhenUsed/>
    <w:rsid w:val="008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61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762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083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8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01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main?base=LAW;n=382637;dst=690" TargetMode="External"/><Relationship Id="rId18" Type="http://schemas.openxmlformats.org/officeDocument/2006/relationships/hyperlink" Target="consultantplus://offline/ref=main?base=ARB;n=662650;dst=100007" TargetMode="External"/><Relationship Id="rId26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3565%26amp%3Bdst%3D100009&amp;uid_news=1095284&amp;cli=" TargetMode="External"/><Relationship Id="rId39" Type="http://schemas.openxmlformats.org/officeDocument/2006/relationships/hyperlink" Target="http://work.elcode.ru/subscribe/link/?hash=c295ba95b284b04d6ad0ccf9cfd91495&amp;id_send=17141&amp;id_email=9610320&amp;url=https%3A%2F%2Flogin.consultant.ru%2Flink%2F%3Freq%3Ddoc%26base%3DQSBO%26n%3D22117%26dst%3D100004&amp;uid_news=1095273&amp;cli=" TargetMode="External"/><Relationship Id="rId21" Type="http://schemas.openxmlformats.org/officeDocument/2006/relationships/hyperlink" Target="http://work.elcode.ru/subscribe/link/?hash=c295ba95b284b04d6ad0ccf9cfd91495&amp;id_send=17141&amp;id_email=9610320&amp;url=https%3A%2F%2Fstorage.consultant.ru%2Fondb%2Fattachments%2F202105%2F06%2FAO_suda_HMAO-Ugry_xV-.pdf&amp;uid_news=1095302&amp;cli=" TargetMode="External"/><Relationship Id="rId34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1140&amp;uid_news=1095279&amp;cli=" TargetMode="External"/><Relationship Id="rId42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7552&amp;uid_news=1095273&amp;cli=" TargetMode="External"/><Relationship Id="rId47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100015&amp;uid_news=1095273&amp;cli=" TargetMode="External"/><Relationship Id="rId50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43977%26amp%3Bdst%3D100094&amp;uid_news=1095273&amp;cli=" TargetMode="External"/><Relationship Id="rId55" Type="http://schemas.openxmlformats.org/officeDocument/2006/relationships/fontTable" Target="fontTable.xml"/><Relationship Id="rId7" Type="http://schemas.openxmlformats.org/officeDocument/2006/relationships/image" Target="cid:00c56a468fe3a668fe4b6dc489c4d5cb@swift.generated" TargetMode="External"/><Relationship Id="rId12" Type="http://schemas.openxmlformats.org/officeDocument/2006/relationships/hyperlink" Target="consultantplus://offline/ref=main?base=AVV;n=96920;dst=100056" TargetMode="External"/><Relationship Id="rId17" Type="http://schemas.openxmlformats.org/officeDocument/2006/relationships/hyperlink" Target="consultantplus://offline/ref=main?base=AVV;n=96920;dst=100020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3658%26amp%3Bdst%3D100004&amp;uid_news=1095279&amp;cli=" TargetMode="External"/><Relationship Id="rId38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3646%26amp%3Bdst%3D100003&amp;uid_news=1095277&amp;cli=" TargetMode="External"/><Relationship Id="rId46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13768&amp;uid_news=1095273&amp;cli=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82637;dst=709" TargetMode="External"/><Relationship Id="rId20" Type="http://schemas.openxmlformats.org/officeDocument/2006/relationships/hyperlink" Target="consultantplus://offline/ref=main?base=LAW;n=382637;dst=690" TargetMode="External"/><Relationship Id="rId29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4921%26amp%3Bdst%3D1000000006&amp;uid_news=1095284&amp;cli=" TargetMode="External"/><Relationship Id="rId41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QSBO%26amp%3Bn%3D7037%26amp%3Bdst%3D100012&amp;uid_news=1095273&amp;cli=" TargetMode="External"/><Relationship Id="rId54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13768&amp;uid_news=1095273&amp;cli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main?base=ARB;n=662650;dst=100013" TargetMode="External"/><Relationship Id="rId24" Type="http://schemas.openxmlformats.org/officeDocument/2006/relationships/hyperlink" Target="http://work.elcode.ru/subscribe/link/?hash=c295ba95b284b04d6ad0ccf9cfd91495&amp;id_send=17141&amp;id_email=9610320&amp;url=https%3A%2F%2Flogin.consultant.ru%2Flink%2F%3Freq%3Ddoc%26base%3DLAW%26n%3D383565%26dst%3D1000000004&amp;uid_news=1095284&amp;cli=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6.jpeg"/><Relationship Id="rId40" Type="http://schemas.openxmlformats.org/officeDocument/2006/relationships/image" Target="media/image7.jpeg"/><Relationship Id="rId45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100068&amp;uid_news=1095273&amp;cli=" TargetMode="External"/><Relationship Id="rId53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202007%26amp%3Bdst%3D100271&amp;uid_news=1095273&amp;cl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AVV;n=96920;dst=100023" TargetMode="External"/><Relationship Id="rId23" Type="http://schemas.openxmlformats.org/officeDocument/2006/relationships/hyperlink" Target="http://work.elcode.ru/subscribe/link/?hash=c295ba95b284b04d6ad0ccf9cfd91495&amp;id_send=17141&amp;id_email=9610320&amp;url=https%3A%2F%2Fstorage.consultant.ru%2Fondb%2Fattachments%2F202105%2F06%2FAO_suda_HMAO-Ugry_xV-.pdf&amp;uid_news=1095302&amp;cli=" TargetMode="External"/><Relationship Id="rId28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3565%26amp%3Bdst%3D100005&amp;uid_news=1095284&amp;cli=" TargetMode="External"/><Relationship Id="rId36" Type="http://schemas.openxmlformats.org/officeDocument/2006/relationships/hyperlink" Target="http://work.elcode.ru/subscribe/link/?hash=c295ba95b284b04d6ad0ccf9cfd91495&amp;id_send=17141&amp;id_email=9610320&amp;url=https%3A%2F%2Flogin.consultant.ru%2Flink%2F%3Freq%3Ddoc%26base%3DLAW%26n%3D383646%26dst%3D100004&amp;uid_news=1095277&amp;cli=" TargetMode="External"/><Relationship Id="rId49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43977%26amp%3Bdst%3D100013&amp;uid_news=1095273&amp;cli=" TargetMode="External"/><Relationship Id="rId10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ARB%26amp%3Bn%3D662650%26amp%3Bdst%3D100013&amp;uid_news=1095305&amp;cli=" TargetMode="External"/><Relationship Id="rId19" Type="http://schemas.openxmlformats.org/officeDocument/2006/relationships/hyperlink" Target="consultantplus://offline/ref=main?base=ARB;n=662650;dst=100013" TargetMode="External"/><Relationship Id="rId31" Type="http://schemas.openxmlformats.org/officeDocument/2006/relationships/hyperlink" Target="http://work.elcode.ru/subscribe/link/?hash=c295ba95b284b04d6ad0ccf9cfd91495&amp;id_send=17141&amp;id_email=9610320&amp;url=https%3A%2F%2Flogin.consultant.ru%2Flink%2F%3Freq%3Ddoc%26base%3DLAW%26n%3D383658%26dst%3D100004&amp;uid_news=1095279&amp;cli=" TargetMode="External"/><Relationship Id="rId44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368%26amp%3Bdst%3D4797&amp;uid_news=1095273&amp;cli=" TargetMode="External"/><Relationship Id="rId52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43977%26amp%3Bdst%3D100056&amp;uid_news=1095273&amp;cli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main?base=AVV;n=96920;dst=100049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3565%26amp%3Bdst%3D100009&amp;uid_news=1095284&amp;cli=" TargetMode="External"/><Relationship Id="rId30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62627%26amp%3Bdst%3D102365&amp;uid_news=1095284&amp;cli=" TargetMode="External"/><Relationship Id="rId35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81662&amp;uid_news=1095279&amp;cli=" TargetMode="External"/><Relationship Id="rId43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7552&amp;uid_news=1095273&amp;cli=" TargetMode="External"/><Relationship Id="rId48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77747%26amp%3Bdst%3D13768&amp;uid_news=1095273&amp;cli=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ork.elcode.ru/subscribe/link/?hash=c295ba95b284b04d6ad0ccf9cfd91495&amp;id_send=17141&amp;id_email=9610320&amp;url=https%3A%2F%2Flogin.consultant.ru%2Flink%2F%3Freq%3Ddoc%26base%3DARB%26n%3D662650%26dst%3D100013&amp;uid_news=1095305&amp;cli=" TargetMode="External"/><Relationship Id="rId51" Type="http://schemas.openxmlformats.org/officeDocument/2006/relationships/hyperlink" Target="http://work.elcode.ru/subscribe/link/?hash=c295ba95b284b04d6ad0ccf9cfd91495&amp;id_send=17141&amp;id_email=9610320&amp;url=https%3A%2F%2Flogin.consultant.ru%2Flink%2F%3Freq%3Ddoc%26amp%3Bbase%3DLAW%26amp%3Bn%3D343977%26amp%3Bdst%3D100004&amp;uid_news=1095273&amp;cli=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(Игонина) Анна Дмитриевна</dc:creator>
  <cp:keywords/>
  <dc:description/>
  <cp:lastModifiedBy>Ежова (Игонина) Анна Дмитриевна</cp:lastModifiedBy>
  <cp:revision>5</cp:revision>
  <dcterms:created xsi:type="dcterms:W3CDTF">2021-05-12T13:49:00Z</dcterms:created>
  <dcterms:modified xsi:type="dcterms:W3CDTF">2021-05-14T09:00:00Z</dcterms:modified>
</cp:coreProperties>
</file>