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3A42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1E3A42" w:rsidRDefault="001E3A4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1E3A42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3A42" w:rsidRDefault="001E3A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E3A42" w:rsidRDefault="001E3A4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Рособрнадзор назвал самые часто встречающиеся в сфере образования и науки нарушения обязательных требований в I квартале 2021 года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перечнем наиболее часто встречающихся нарушений обязательных требований для их устранения и предотвращения.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9" w:history="1">
              <w:r>
                <w:rPr>
                  <w:rStyle w:val="a3"/>
                  <w:color w:val="0000FF"/>
                </w:rPr>
                <w:t>Информаци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и Рособрнадзора от 14.05.2021 представлен перечень наиболее часто встречающихся нарушений обязательных требований в I квартале 2021 года, допускаемых государственными бюджетными учреждениями в сфере образования.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Федеральной службой по надзору в сфере образования и науки проведены контрольные (надзорные) мероприятия в части: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федерального государственного надзора в сфере образования;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лицензионного контроля за образовательной деятельностью;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федерального государственного контроля качества образования;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государственного надзора за соблюдением требований законодательства РФ в сфере защиты детей от информации, причиняющей вред их здоровью и (или) развитию, к используемой в образовательном процессе информационной продукции.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 результатам мероприятий составлены перечни наиболее часто встречающихся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нарушений обязательных требований с указанием примерного перечня документов и (или) сведений, подтверждающих устранение выявленных нарушений.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частности, к наиболее часто встречающимся нарушениям обязательных требований, оценка соблюдения которых осуществлялась в рамках проведенного федерального государственного надзора в сфере образования, относятся следующие нарушения: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при принятии локальных нормативных актов, затрагивающих права обучающихся образовательной организации, не учитывается мнение советов обучающихся, представительных органов обучающихся;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образовательная организация не размещает на официальном сайте (либо размещает не в полном объеме) необходимую информацию;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основные профессиональные образовательные программы высшего образования не представляют собой комплекс основных характеристик образования: отсутствуют рабочие программы дисциплин, организационно-педагогические условия, программы практик.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Отмечается, что образовательная организация не ограничена в определении документов и сведений, направляемых в Рособрнадзор для подтверждения устранения выявленных в ходе проверки нарушений.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 сентября 2021 года действуют новые требования к оснащению некоторых рентгеновских кабинетов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медицинским учреждениям, имеющим рентген-кабинеты, с 1 сентября 2021 года необходимо осуществлять работу в соответствии с новыми требованиями.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2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18.02.2021 № 110н изменены </w:t>
            </w:r>
            <w:hyperlink r:id="rId13" w:history="1">
              <w:r>
                <w:rPr>
                  <w:rStyle w:val="a3"/>
                  <w:color w:val="0000FF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проведения рентгенологических исследований. Кроме требований к оснащению отдельных рентгеновских кабинетов (в том числе стоматологического), уточнено, когда врач-рентгенолог может не оформлять протокол исследований.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Изменения вступят в  силу 1 сентября 2021 года и будут действовать до 1 января 2027 года.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сентября при лечении стоматологических заболеваний лечащий врач может </w:t>
            </w:r>
            <w:hyperlink r:id="rId14" w:history="1">
              <w:r>
                <w:rPr>
                  <w:rStyle w:val="a3"/>
                  <w:color w:val="0000FF"/>
                </w:rPr>
                <w:t>не выдавать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пациенту направление на рентгенологическое исследование, а врач-рентгенолог – не оформлять протокол исследований. Сведения о таких исследованиях нужно вносить в меддокументацию пациента.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Кроме того, скорректированы стандарты оснащения следующих кабинетов: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рентгеновского стоматологического: можно будет </w:t>
            </w:r>
            <w:hyperlink r:id="rId15" w:history="1">
              <w:r>
                <w:rPr>
                  <w:rStyle w:val="a3"/>
                  <w:color w:val="0000FF"/>
                </w:rPr>
                <w:t>выбрать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один из аппаратов: радиовизиограф, ортопантомограф или конусно-лучевой компьютерный томограф для исследования зубочелюстной системы;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рентгеновской компьютерной томографии: вместо </w:t>
            </w:r>
            <w:hyperlink r:id="rId16" w:history="1">
              <w:r>
                <w:rPr>
                  <w:rStyle w:val="a3"/>
                  <w:color w:val="0000FF"/>
                </w:rPr>
                <w:t>насоса шприцевого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можно </w:t>
            </w:r>
            <w:hyperlink r:id="rId17" w:history="1">
              <w:r>
                <w:rPr>
                  <w:rStyle w:val="a3"/>
                  <w:color w:val="0000FF"/>
                </w:rPr>
                <w:t>иметь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стационарную или передвижную систему инъекции контрастного вещества для КТ;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– магнитно-резонансной томографии: кабинет можно </w:t>
            </w:r>
            <w:hyperlink r:id="rId18" w:history="1">
              <w:r>
                <w:rPr>
                  <w:rStyle w:val="a3"/>
                  <w:color w:val="0000FF"/>
                </w:rPr>
                <w:t>оснащать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 только системой МРТ со сверхпроводящим магнитом для исследования всего тела и конечностей, но и системой МРТ с постоянным или резистивным магнитом для исследования всего тела.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</w:rPr>
              <w:t xml:space="preserve">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26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Росздравнадзор планирует обновить проверочные листы для госконтроля качества и безопасности медицинской деятельности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новыми планируемыми списками контрольных вопросов для проверки качества и безопасности медицинской деятельности.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Росздравнадзор подготовил </w:t>
            </w:r>
            <w:hyperlink r:id="rId21" w:history="1">
              <w:r>
                <w:rPr>
                  <w:rStyle w:val="a3"/>
                  <w:color w:val="0000FF"/>
                </w:rPr>
                <w:t>проект Приказа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которым разработаны </w:t>
            </w:r>
            <w:hyperlink r:id="rId22" w:history="1">
              <w:r>
                <w:rPr>
                  <w:rStyle w:val="a3"/>
                  <w:color w:val="0000FF"/>
                </w:rPr>
                <w:t>новые списки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контрольных вопросов для проверки качества и безопасности медицинской деятельности взамен </w:t>
            </w:r>
            <w:hyperlink r:id="rId23" w:history="1">
              <w:r>
                <w:rPr>
                  <w:rStyle w:val="a3"/>
                  <w:color w:val="0000FF"/>
                </w:rPr>
                <w:t>действующих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" w:history="1">
              <w:r>
                <w:rPr>
                  <w:rStyle w:val="a3"/>
                  <w:color w:val="0000FF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предлагается актуализировать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используемые Росздравнадзором и его территориальными органами при осуществлении федерального государственного контроля (надзора) качества и безопасности медицинской деятельности.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Общественное обсуждение проекта закончится 21 мая.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E3A42" w:rsidRDefault="001E3A4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Опубликованы поправки к формам обоснований для бюджетных смет федеральных казенных учреждений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23 мая 2021 года будет применяться скорректированный перечень и формы обоснований (расчетов) плановых сметных показателей для бюджетных смет федеральных казенных учреждений.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7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26.02.2021 № 30н скорректированы 24 формы обоснований, например: по закупкам в сфере информационно-коммуникационных технологий, бюджетным инвестициям, уплате налога на имущество и земельного налога. Три обоснования показателей по некоторым субвенциям исключены.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Ведомство также предусмотрело 34 новые формы. Большинство из них предназначены для внебюджетных фондов.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Новшества вступят в силу 23 мая 2021 года.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2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Банк России уточнил требования к заполнению платежных поручений, плательщиками по которым являются организации, лицевые счета которым открыты в финансовых органах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25 мая 2021 года действуют новые правила заполнения реквизита «Назначение платежа» в платежных поручениях организаций, лицевые счета которых открыты в финансовых органах.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7152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Банк России </w:t>
            </w:r>
            <w:hyperlink r:id="rId30" w:history="1">
              <w:r>
                <w:rPr>
                  <w:rStyle w:val="a3"/>
                  <w:color w:val="0000FF"/>
                </w:rPr>
                <w:t>Указанием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25.03.2021 № 5755-У внес изменения в </w:t>
            </w:r>
            <w:hyperlink r:id="rId31" w:history="1">
              <w:r>
                <w:rPr>
                  <w:rStyle w:val="a3"/>
                  <w:color w:val="0000FF"/>
                </w:rPr>
                <w:t>подп. 1.1.6 п. 1.1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Положения Банка России от 06.10.2020 № 735-П «О ведении Банком России и кредитными организациями (филиалами) банковских счетов территориальных органов Федерального казначейства».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 Установлено, что в реквизите «Назначение платежа» перед текстовым указанием назначения платежа в скобках приводится информация в целях соблюдения порядка казначейского обслуживания, установленного Федеральным казначейством, а также информация в целях соблюдения порядка исполнения бюджета по расходам, установленного финансовым органом или органом управления внебюджетным фондом в соответствии с п. 1 ст. 219 БК РФ.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Банки не осуществляют контроль за наличием и содержанием информации, указанной в скобках в реквизите «Назначение платежа» платежного поручения.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 Документ вступает в силу 25 мая 2021 года.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Учреждения должны представить в ПФР сведения за 2020 год о «ковидных» выплатах медикам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с 14 мая 2021 года проводится мониторинг сбора информации о стимулирующих выплатах медицинским и иным работникам, участвовавшим в 2020 году в оказании медицинской помощи больным COVID-19. Учреждениям необходимо представить информацию в ПФР.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4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Пенсионного фонда России от 14.05.2021 сообщается, что бюджетные учреждения, получившие в 2020 году стимулирующие выплаты медицинским и иным работникам, участвовавшим в оказании медицинской помощи больным новой коронавирусной инфекцией (COVID-19), должны представить в Пенсионный фонд информацию. Сведения должны быть представлены в территориальные органы ПФР в форме электронного документа посредством неформализованного документооборота программного комплекса бесконтактного приема информации (формат файла прилагается).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информации приведены бумажная форма сбора информации о стимулирующих выплатах и инструкция по ее заполнению.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3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 отражении в бюджетном учете и отчетности операций по исправлению ошибок прошлых лет, в том числе по консолидируемым показателям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казенным учреждениям воспользоваться разъяснениями Минфина по отражению операций в части исправления ошибок прошлых лет.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37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09.04.2021 года № 02-06-10/27219 </w:t>
            </w:r>
            <w:hyperlink r:id="rId38" w:history="1">
              <w:r>
                <w:rPr>
                  <w:rStyle w:val="a3"/>
                  <w:color w:val="0000FF"/>
                </w:rPr>
                <w:t>отметил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в нормативных актах нет отдельных правил, чтобы исправить в бюджетной отчетности прошлогодние ошибки по консолидируемым показателям. Напомним, консолидируемыми считают взаимосвязанные показатели, которые </w:t>
            </w:r>
            <w:hyperlink r:id="rId39" w:history="1">
              <w:r>
                <w:rPr>
                  <w:rStyle w:val="a3"/>
                  <w:color w:val="0000FF"/>
                </w:rPr>
                <w:t>исключают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 составлении консолидированной отчетности.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Такие показатели чаще всего отражают в учете одновременно несколько учреждений. Ошибки по ним нужно исправлять тоже </w:t>
            </w:r>
            <w:hyperlink r:id="rId40" w:history="1">
              <w:r>
                <w:rPr>
                  <w:rStyle w:val="a3"/>
                  <w:color w:val="0000FF"/>
                </w:rPr>
                <w:t>синхронно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Для этого инициатор исправления уведомляет другую сторону расчетов.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 мнению ведомства, при подаче сведений об изменении остатков валюты баланса (</w:t>
            </w:r>
            <w:hyperlink r:id="rId41" w:history="1">
              <w:r>
                <w:rPr>
                  <w:rStyle w:val="a3"/>
                  <w:color w:val="0000FF"/>
                </w:rPr>
                <w:t>ф. 0503173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) учреждениям </w:t>
            </w:r>
            <w:hyperlink r:id="rId42" w:history="1">
              <w:r>
                <w:rPr>
                  <w:rStyle w:val="a3"/>
                  <w:color w:val="0000FF"/>
                </w:rPr>
                <w:t>надо представить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справки по консолидируемым расчетам (</w:t>
            </w:r>
            <w:hyperlink r:id="rId43" w:history="1">
              <w:r>
                <w:rPr>
                  <w:rStyle w:val="a3"/>
                  <w:color w:val="0000FF"/>
                </w:rPr>
                <w:t>ф. 0503125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) за прошлый год. Их нужно заполнить в отношении уточненных остатков на счетах по консолидируемым позициям.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пояснил особенности учета учреждением банковских гарантий и начисления неустоек по контрактам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случае несвоевременного исполнения поставщиком обязательств, предусмотренных контрактом, заказчик начисляет штраф за ненадлежащее исполнение условий контракта и пени за каждый день просрочки исполнения обязательств, предусмотренных контрактом.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46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13.04.2021 № 02-07-10/27529 сообщает, что полученную банковскую гарантию следует </w:t>
            </w:r>
            <w:hyperlink r:id="rId47" w:history="1">
              <w:r>
                <w:rPr>
                  <w:rStyle w:val="a3"/>
                  <w:color w:val="0000FF"/>
                </w:rPr>
                <w:t>отражать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забалансовом счете 10, только когда возникнет обязательство, которое она обеспечивает. Полагаем, чаще всего это дата заключения контракта.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 w:history="1">
              <w:r>
                <w:rPr>
                  <w:rStyle w:val="a3"/>
                  <w:color w:val="0000FF"/>
                </w:rPr>
                <w:t>Списывать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гарантию с забалансового счета необходимо в тот момент, когда контрагент исполнил обеспеченное обязательство. Если он его не исполнил, списание отражается при поступлении средств по гарантии. Такой порядок предусматривает </w:t>
            </w:r>
            <w:hyperlink r:id="rId49" w:history="1">
              <w:r>
                <w:rPr>
                  <w:rStyle w:val="a3"/>
                  <w:color w:val="0000FF"/>
                </w:rPr>
                <w:t>Инструкция № 157н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Ранее  речь уже шла об аналогичном подходе судов.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Ведомство также напомнило: если контрагент не вовремя исполнил обязательства, учреждение </w:t>
            </w:r>
            <w:hyperlink r:id="rId50" w:history="1">
              <w:r>
                <w:rPr>
                  <w:rStyle w:val="a3"/>
                  <w:color w:val="0000FF"/>
                </w:rPr>
                <w:t>начисляет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штраф за нарушение контракта, и пени за каждый день просрочки. Такие разъяснения чиновники уже </w:t>
            </w:r>
            <w:hyperlink r:id="rId51" w:history="1">
              <w:r>
                <w:rPr>
                  <w:rStyle w:val="a3"/>
                  <w:color w:val="0000FF"/>
                </w:rPr>
                <w:t>давали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после исполнения контрагентом обязательства учреждению нужно время для приемки товара, результатов работы или услуги, оно </w:t>
            </w:r>
            <w:hyperlink r:id="rId52" w:history="1">
              <w:r>
                <w:rPr>
                  <w:rStyle w:val="a3"/>
                  <w:color w:val="0000FF"/>
                </w:rPr>
                <w:t>не включается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в период просрочки. Иное условие можно установить в контракте.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E3A42" w:rsidRDefault="001E3A4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5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Минтруд начал проводить эксперимент по повышению эффективности отбора на госслужбу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Положением, устанавливающим порядок и условия проведения эксперимента по определению соответствия квалификации для замещения должностей гражданской службы.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5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12.05.2021 № 721 утверждено </w:t>
            </w:r>
            <w:hyperlink r:id="rId56" w:history="1">
              <w:r>
                <w:rPr>
                  <w:rStyle w:val="a3"/>
                  <w:color w:val="0000FF"/>
                </w:rPr>
                <w:t>Положение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устанавливающее порядок и условия проведения эксперимента по определению соответствия квалификационным требованиям для замещения должностей федеральной государственной гражданской службы профессионального уровня лиц, претендующих на замещение должностей гражданской службы и включение в кадровый резерв федерального государственного органа, с использованием базы оценочных заданий (далее – кадровый резерв, эксперимент).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Эксперимент проводится в период с 18 мая по 13 августа 2021 года, в нем будут участвовать четыре ведомства: Минтруд, Минэнерго, Росздравнадзор и Росреестр. Лица, претендующие на замещение должностей федеральной государственной гражданской службы и включение в кадровый резерв указанных органов, принимают участие в эксперименте на добровольной основе. Цель реформы заключается в повышении оперативности и качества принимаемых решений для достижения национальных целей развития.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рамках эксперимента планируется использовать сформированную экспертами общую базу оценочных заданий. Помимо профильных вопросов, связанных с должностными обязанностями каждого кандидата, в ней сохранится базовая часть, проверяющая знание Конституции, основ госслужбы, антикоррупционного законодательства.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Координатором эксперимента является Министерство труда и социальной защиты Российской Федерации.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Default="001E3A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#a0a0a0" stroked="f"/>
              </w:pic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E3A42" w:rsidRDefault="001E3A42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E3A42" w:rsidRDefault="001E3A42">
            <w:pPr>
              <w:rPr>
                <w:rFonts w:eastAsia="Times New Roman"/>
                <w:sz w:val="24"/>
                <w:szCs w:val="24"/>
              </w:rPr>
            </w:pPr>
            <w:hyperlink r:id="rId5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Казенному учреждению в мае 2021 года выставлен счет на оплату оказанных услуг за декабрь 2020 года (после сдачи и утверждения годовой отчетности за 2020 год). Оплата счета произведена учреждением в мае 2021 года. Какие бухгалтерские записи необходимо отразить в учете казенного учреждения? </w:t>
              </w:r>
            </w:hyperlink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E3A42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1E3A42" w:rsidRDefault="001E3A4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позднее поступление первичных учетных документов не является событием после отчетной даты. В случае поступления таких первичных документов после даты подписания (принятия) бухгалтерской отчетности вышестоящим пользователем отчетности эти операции отражаются в следующем отчетном периоде как ошибки прошлых лет. </w:t>
                  </w:r>
                </w:p>
              </w:tc>
            </w:tr>
          </w:tbl>
          <w:p w:rsidR="001E3A42" w:rsidRDefault="001E3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1E3A42" w:rsidRDefault="001E3A42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59" w:history="1">
              <w:r>
                <w:rPr>
                  <w:rStyle w:val="a3"/>
                  <w:color w:val="0000FF"/>
                </w:rPr>
                <w:t>статье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«Исправление ошибок прошлых лет: что нового с 2021 года?» в СПС КонсультантПлюс разъяснил, что операции обособляются на отдельных счетах бухгалтерского учета, в отдельном регистре, но в отчетности за 2021 год не отражаются, а корректируются входящие остатки на начало 2021 года в межотчетном периоде (п. 1.7 Методических рекомендаций). На основании данных сведений </w:t>
            </w:r>
            <w:hyperlink r:id="rId60" w:history="1">
              <w:r>
                <w:rPr>
                  <w:rStyle w:val="a3"/>
                  <w:color w:val="0000FF"/>
                </w:rPr>
                <w:t>(ф. 0503173)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отражаются скорректированные входящие остатки (на начало отчетного года) баланса </w:t>
            </w:r>
            <w:hyperlink r:id="rId61" w:history="1">
              <w:r>
                <w:rPr>
                  <w:rStyle w:val="a3"/>
                  <w:color w:val="0000FF"/>
                </w:rPr>
                <w:t>(ф. 0503130)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 Также необходимо отразить информацию об исправлении ошибок прошлых лет в сведениях об изменении остатков валюты баланса (ф. 0503173), если ошибку обнаружили самостоятельно.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Дополнительно в отношении ошибок предшествующих лет в текстовой части пояснительной записки (ф. 0503160) в </w:t>
            </w:r>
            <w:hyperlink r:id="rId62" w:history="1">
              <w:r>
                <w:rPr>
                  <w:rStyle w:val="a3"/>
                  <w:color w:val="0000FF"/>
                </w:rPr>
                <w:t>разд. 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или в сопроводительном документе, содержащем пояснения к бюджетной отчетности, при представлении отчетности отражается следующая информация (</w:t>
            </w:r>
            <w:hyperlink r:id="rId63" w:history="1">
              <w:r>
                <w:rPr>
                  <w:rStyle w:val="a3"/>
                  <w:color w:val="0000FF"/>
                </w:rPr>
                <w:t>п. 34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СГС «Учетная политика, оценочные значения и ошибки», </w:t>
            </w:r>
            <w:hyperlink r:id="rId64" w:history="1">
              <w:r>
                <w:rPr>
                  <w:rStyle w:val="a3"/>
                  <w:color w:val="0000FF"/>
                </w:rPr>
                <w:t>п. 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Методических рекомендаций):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описание ошибки;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сумма корректировки по каждой статье отчетности за каждый предшествующий год, для которого в ней раскрываются сравнительные показатели;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общая сумма корректировки на начало самого раннего предшествующего года, для которого в отчетности раскрываются сравнительные показатели;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описание причин, по которым корректировка сравнительных показателей отчетности за один год или несколько предшествующих лет не представляется возможной, а также описание способа отражения исправления ошибки с указанием периода, в котором отражены исправления. 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 2021 года ошибки, допущенные в периоде, за который годовая бюджетная отчетность утверждена (завершены мероприятия по внешнему финансовому контролю), исправляются с применением следующих счетов: 0 304 86 000, 0 304 96 000, 0 401 18 000, 0 401 19 000, 0 401 28 000, 0 401 29 000 – при обнаружении их иными лицами.</w:t>
            </w:r>
          </w:p>
          <w:p w:rsidR="001E3A42" w:rsidRDefault="001E3A42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Исправления оформляются дополнительной бухгалтерской записью либо бухгалтерской записью способом «красное сторно» и дополнительной бухгалтерской записью с применением указанных счетов бюджетного учета в период (на дату) обнаружения ошибки и ретроспективного пересчета бюджетной отчетности.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Принятие к учету кредиторской задолженности отразится в качестве исправления ошибки прошлого года с применением следующих корреспонденций счетов: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Восстановлена в учете кредиторская задолженность перед поставщиком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Дт 1 304 86 831 Кт 1 302 ХХ 734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Принята к учету кредиторской задолженность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Дт 1 401.20 226 Кт1 304 86 731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Оплачена задолженность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Дт 1 302 ХХ 834 Кт1 304 05 ХХХ </w:t>
            </w:r>
          </w:p>
        </w:tc>
      </w:tr>
      <w:tr w:rsidR="001E3A42" w:rsidTr="001E3A42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E3A42" w:rsidRPr="001E3A42" w:rsidRDefault="001E3A42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F42694" w:rsidRDefault="00F42694"/>
    <w:sectPr w:rsidR="00F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4"/>
    <w:rsid w:val="001A3D84"/>
    <w:rsid w:val="001E3A42"/>
    <w:rsid w:val="00483B85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42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E3A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1E3A42"/>
  </w:style>
  <w:style w:type="paragraph" w:styleId="a5">
    <w:name w:val="Balloon Text"/>
    <w:basedOn w:val="a"/>
    <w:link w:val="a6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42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1E3A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1E3A42"/>
  </w:style>
  <w:style w:type="paragraph" w:styleId="a5">
    <w:name w:val="Balloon Text"/>
    <w:basedOn w:val="a"/>
    <w:link w:val="a6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62387%26amp%3Bdst%3D100010&amp;uid_news=1101950&amp;cli=" TargetMode="External"/><Relationship Id="rId18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796%26amp%3Bdst%3D100062&amp;uid_news=1101950&amp;cli=" TargetMode="External"/><Relationship Id="rId26" Type="http://schemas.openxmlformats.org/officeDocument/2006/relationships/image" Target="media/image5.jpeg"/><Relationship Id="rId39" Type="http://schemas.openxmlformats.org/officeDocument/2006/relationships/hyperlink" Target="consultantplus://offline/ref=main?base=LAW;n=362262;dst=100031" TargetMode="External"/><Relationship Id="rId21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PNPA%26amp%3Bn%3D70625%26amp%3Bdst%3D1000000008&amp;uid_news=1101947&amp;cli=" TargetMode="External"/><Relationship Id="rId34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6589%26amp%3Bdst%3D1000000407&amp;uid_news=1101938&amp;cli=" TargetMode="External"/><Relationship Id="rId42" Type="http://schemas.openxmlformats.org/officeDocument/2006/relationships/hyperlink" Target="consultantplus://offline/ref=main?base=QSBO;n=22123;dst=100015" TargetMode="External"/><Relationship Id="rId47" Type="http://schemas.openxmlformats.org/officeDocument/2006/relationships/hyperlink" Target="consultantplus://offline/ref=main?base=QSBO;n=22124;dst=100011" TargetMode="External"/><Relationship Id="rId50" Type="http://schemas.openxmlformats.org/officeDocument/2006/relationships/hyperlink" Target="consultantplus://offline/ref=main?base=QSBO;n=22124;dst=100020" TargetMode="External"/><Relationship Id="rId55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4113%26amp%3Bdst%3D1000000007&amp;uid_news=1101927&amp;cli=" TargetMode="External"/><Relationship Id="rId63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44755%26amp%3Bdst%3D100111&amp;uid_news=1101889&amp;cli=" TargetMode="External"/><Relationship Id="rId7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LAW%26n%3D384030%26dst%3D100006&amp;uid_news=1101953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62387%26amp%3Bdst%3D100563&amp;uid_news=1101950&amp;cli=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41" Type="http://schemas.openxmlformats.org/officeDocument/2006/relationships/hyperlink" Target="consultantplus://offline/ref=main?base=LAW;n=377747;dst=17802" TargetMode="External"/><Relationship Id="rId54" Type="http://schemas.openxmlformats.org/officeDocument/2006/relationships/image" Target="media/image10.jpeg"/><Relationship Id="rId62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77747%26amp%3Bdst%3D101269&amp;uid_news=1101889&amp;cli=" TargetMode="External"/><Relationship Id="rId1" Type="http://schemas.openxmlformats.org/officeDocument/2006/relationships/styles" Target="styles.xml"/><Relationship Id="rId6" Type="http://schemas.openxmlformats.org/officeDocument/2006/relationships/image" Target="cid:95f7644b0581d90a10729f9b113a6ec1@swift.generate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PNPA%26amp%3Bn%3D70625%26amp%3Bdst%3D1000000010&amp;uid_news=1101947&amp;cli=" TargetMode="External"/><Relationship Id="rId32" Type="http://schemas.openxmlformats.org/officeDocument/2006/relationships/hyperlink" Target="http://work.elcode.ru/subscribe/link/?hash=bf4840d0ddb66a538a304501006b7050&amp;id_send=17192&amp;id_email=9647687&amp;url=http%3A%2F%2Fstatic.consultant.ru%2Fobj%2Ffile%2Fdoc%2Fpf_140521.rtf&amp;uid_news=1101938&amp;cli=" TargetMode="External"/><Relationship Id="rId37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QSBO%26amp%3Bn%3D22123%26amp%3Bdst%3D100010&amp;uid_news=1101935&amp;cli=" TargetMode="External"/><Relationship Id="rId40" Type="http://schemas.openxmlformats.org/officeDocument/2006/relationships/hyperlink" Target="consultantplus://offline/ref=main?base=QSBO;n=22123;dst=100014" TargetMode="External"/><Relationship Id="rId45" Type="http://schemas.openxmlformats.org/officeDocument/2006/relationships/image" Target="media/image9.jpeg"/><Relationship Id="rId53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LAW%26n%3D384113%26dst%3D100005&amp;uid_news=1101927&amp;cli=" TargetMode="External"/><Relationship Id="rId58" Type="http://schemas.openxmlformats.org/officeDocument/2006/relationships/image" Target="media/image11.jpeg"/><Relationship Id="rId66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796%26amp%3Bdst%3D100015&amp;uid_news=1101950&amp;cli=" TargetMode="External"/><Relationship Id="rId23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289425%26amp%3Bdst%3D100007&amp;uid_news=1101947&amp;cli=" TargetMode="External"/><Relationship Id="rId28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LAW%26n%3D384042%26dst%3D100003&amp;uid_news=1101941&amp;cli=" TargetMode="External"/><Relationship Id="rId36" Type="http://schemas.openxmlformats.org/officeDocument/2006/relationships/image" Target="media/image8.jpeg"/><Relationship Id="rId49" Type="http://schemas.openxmlformats.org/officeDocument/2006/relationships/hyperlink" Target="consultantplus://offline/ref=main?base=LAW;n=364484;dst=101637" TargetMode="External"/><Relationship Id="rId57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PKBO%26n%3D47896%26dst%3D1000000004&amp;uid_news=1101889&amp;cli=" TargetMode="External"/><Relationship Id="rId61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77747%26amp%3Bdst%3D7552&amp;uid_news=1101889&amp;cli=" TargetMode="External"/><Relationship Id="rId10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LAW%26n%3D383796%26dst%3D1000000007&amp;uid_news=1101950&amp;cli=" TargetMode="External"/><Relationship Id="rId19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PNPA%26n%3D70625%26dst%3D100010&amp;uid_news=1101947&amp;cli=" TargetMode="External"/><Relationship Id="rId31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66323%26amp%3Bdst%3D100030&amp;uid_news=1101941&amp;cli=" TargetMode="External"/><Relationship Id="rId44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QSBO%26n%3D22124%26dst%3D100011&amp;uid_news=1101930&amp;cli=" TargetMode="External"/><Relationship Id="rId52" Type="http://schemas.openxmlformats.org/officeDocument/2006/relationships/hyperlink" Target="consultantplus://offline/ref=main?base=QSBO;n=22124;dst=100018" TargetMode="External"/><Relationship Id="rId60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77747%26amp%3Bdst%3D17802&amp;uid_news=1101889&amp;cli=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4030&amp;uid_news=1101953&amp;cli=" TargetMode="External"/><Relationship Id="rId14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796%26amp%3Bdst%3D100014&amp;uid_news=1101950&amp;cli=" TargetMode="External"/><Relationship Id="rId22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PNPA%26amp%3Bn%3D70625&amp;uid_news=1101947&amp;cli=" TargetMode="External"/><Relationship Id="rId27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894%26amp%3Bdst%3D1000000008&amp;uid_news=1101944&amp;cli=" TargetMode="External"/><Relationship Id="rId30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4042%26amp%3Bdst%3D1000000005&amp;uid_news=1101941&amp;cli=" TargetMode="External"/><Relationship Id="rId35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QSBO%26n%3D22123%26dst%3D100010&amp;uid_news=1101935&amp;cli=" TargetMode="External"/><Relationship Id="rId43" Type="http://schemas.openxmlformats.org/officeDocument/2006/relationships/hyperlink" Target="consultantplus://offline/ref=main?base=LAW;n=377747;dst=3822" TargetMode="External"/><Relationship Id="rId48" Type="http://schemas.openxmlformats.org/officeDocument/2006/relationships/hyperlink" Target="consultantplus://offline/ref=main?base=QSBO;n=22124;dst=100012" TargetMode="External"/><Relationship Id="rId56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4113%26amp%3Bdst%3D1000000027&amp;uid_news=1101927&amp;cli=" TargetMode="External"/><Relationship Id="rId64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08303%26amp%3Bdst%3D100290&amp;uid_news=1101889&amp;cli=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main?base=QSBO;n=20302;dst=100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796%26amp%3Bdst%3D100003&amp;uid_news=1101950&amp;cli=" TargetMode="External"/><Relationship Id="rId17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LAW%26amp%3Bn%3D383796%26amp%3Bdst%3D100049&amp;uid_news=1101950&amp;cli=" TargetMode="External"/><Relationship Id="rId25" Type="http://schemas.openxmlformats.org/officeDocument/2006/relationships/hyperlink" Target="http://work.elcode.ru/subscribe/link/?hash=bf4840d0ddb66a538a304501006b7050&amp;id_send=17192&amp;id_email=9647687&amp;url=https%3A%2F%2Flogin.consultant.ru%2Flink%2F%3Freq%3Ddoc%26base%3DLAW%26n%3D383894%26dst%3D1000000008&amp;uid_news=1101944&amp;cli=" TargetMode="External"/><Relationship Id="rId33" Type="http://schemas.openxmlformats.org/officeDocument/2006/relationships/image" Target="media/image7.jpeg"/><Relationship Id="rId38" Type="http://schemas.openxmlformats.org/officeDocument/2006/relationships/hyperlink" Target="consultantplus://offline/ref=main?base=QSBO;n=22123;dst=100011" TargetMode="External"/><Relationship Id="rId46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QSBO%26amp%3Bn%3D22124%26amp%3Bdst%3D100011&amp;uid_news=1101930&amp;cli=" TargetMode="External"/><Relationship Id="rId59" Type="http://schemas.openxmlformats.org/officeDocument/2006/relationships/hyperlink" Target="http://work.elcode.ru/subscribe/link/?hash=bf4840d0ddb66a538a304501006b7050&amp;id_send=17192&amp;id_email=9647687&amp;url=https%3A%2F%2Flogin.consultant.ru%2Flink%2F%3Freq%3Ddoc%26amp%3Bbase%3DPKBO%26amp%3Bn%3D47896%26amp%3Bdst%3D100003&amp;uid_news=1101889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(Игонина) Анна Дмитриевна</dc:creator>
  <cp:keywords/>
  <dc:description/>
  <cp:lastModifiedBy>Ежова (Игонина) Анна Дмитриевна</cp:lastModifiedBy>
  <cp:revision>3</cp:revision>
  <dcterms:created xsi:type="dcterms:W3CDTF">2021-05-20T12:58:00Z</dcterms:created>
  <dcterms:modified xsi:type="dcterms:W3CDTF">2021-05-20T14:32:00Z</dcterms:modified>
</cp:coreProperties>
</file>