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2"/>
      </w:tblGrid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B32C7" w:rsidRDefault="005B32C7">
            <w:pPr>
              <w:spacing w:line="0" w:lineRule="atLeast"/>
              <w:jc w:val="center"/>
              <w:rPr>
                <w:rFonts w:eastAsia="Times New Roman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B32C7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5B32C7" w:rsidRDefault="005B32C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</w:t>
                  </w:r>
                  <w:proofErr w:type="spellStart"/>
                  <w:r>
                    <w:t>КонсультантПлюс</w:t>
                  </w:r>
                  <w:proofErr w:type="spellEnd"/>
                  <w:r>
                    <w:t xml:space="preserve">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5B32C7" w:rsidTr="005B32C7">
              <w:trPr>
                <w:trHeight w:val="100"/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5B32C7" w:rsidRPr="005B32C7" w:rsidRDefault="005B32C7" w:rsidP="005B32C7">
                  <w:pPr>
                    <w:rPr>
                      <w:rFonts w:eastAsia="Times New Roman"/>
                      <w:lang w:val="en-US"/>
                    </w:rPr>
                  </w:pPr>
                </w:p>
              </w:tc>
            </w:tr>
          </w:tbl>
          <w:p w:rsidR="005B32C7" w:rsidRDefault="005B32C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bookmarkStart w:id="0" w:name="_GoBack"/>
            <w:r>
              <w:rPr>
                <w:rFonts w:eastAsia="Times New Roman"/>
                <w:noProof/>
              </w:rPr>
              <w:drawing>
                <wp:inline distT="0" distB="0" distL="0" distR="0" wp14:anchorId="61DAF57B" wp14:editId="280867A5">
                  <wp:extent cx="5716270" cy="1228725"/>
                  <wp:effectExtent l="0" t="0" r="0" b="9525"/>
                  <wp:docPr id="16" name="Рисунок 16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27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32C7" w:rsidRDefault="005B32C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РУКОВОДИТЕЛЮ 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Оплату профессиональной переподготовки средствами ОМС суд признал нецелевой </w:t>
              </w:r>
            </w:hyperlink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32C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32C7" w:rsidRDefault="005B3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медицинская организация не вправе оплатить средствами ОМС профессиональную переподготовку работников, если она не является обязательной. </w:t>
                  </w:r>
                </w:p>
              </w:tc>
            </w:tr>
          </w:tbl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32C7" w:rsidRDefault="005B32C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657CF75C" wp14:editId="062A7D2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962025"/>
                  <wp:effectExtent l="0" t="0" r="9525" b="9525"/>
                  <wp:wrapSquare wrapText="bothSides"/>
                  <wp:docPr id="25" name="Рисунок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Арбитражный суд Республики Бурятия в </w:t>
            </w:r>
            <w:hyperlink r:id="rId9" w:history="1">
              <w:r>
                <w:rPr>
                  <w:rStyle w:val="a3"/>
                  <w:color w:val="0000FF"/>
                </w:rPr>
                <w:t>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30.03.2021 по делу N А10-381/2020 не поддержал медицинскую организацию, оплатившую переподготовку сотрудника за счет средств ОМС.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ТФОМС выявил нецелевое использование средств ОМС: больница оплатила семинар-тренинг для начальника отдела кадров. Такие расходы </w:t>
            </w:r>
            <w:hyperlink r:id="rId10" w:history="1">
              <w:r>
                <w:rPr>
                  <w:rStyle w:val="a3"/>
                  <w:color w:val="0000FF"/>
                </w:rPr>
                <w:t>не относятся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к медицинской деятельности по правилам ОМС, утвержденным </w:t>
            </w:r>
            <w:hyperlink r:id="rId11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28.02.2019 N 108н.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 мнению Фонда, их также нельзя считать </w:t>
            </w:r>
            <w:hyperlink r:id="rId12" w:history="1">
              <w:r>
                <w:rPr>
                  <w:rStyle w:val="a3"/>
                  <w:color w:val="0000FF"/>
                </w:rPr>
                <w:t>необходимыми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деятельности организации в целом.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Больница обратилась в суд, но тот поддержал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проверяющих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По </w:t>
            </w:r>
            <w:hyperlink r:id="rId13" w:history="1">
              <w:r>
                <w:rPr>
                  <w:rStyle w:val="a3"/>
                  <w:color w:val="0000FF"/>
                </w:rPr>
                <w:t>ТК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РФ работодатель </w:t>
            </w:r>
            <w:hyperlink r:id="rId14" w:history="1">
              <w:r>
                <w:rPr>
                  <w:rStyle w:val="a3"/>
                  <w:color w:val="0000FF"/>
                </w:rPr>
                <w:t>обязан оплатить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обучение, если оно указано в нормативно-правовом акте в качестве условия работы сотрудника. Например, по закону об охране здоровья медработники </w:t>
            </w:r>
            <w:hyperlink r:id="rId15" w:history="1">
              <w:r>
                <w:rPr>
                  <w:rStyle w:val="a3"/>
                  <w:color w:val="0000FF"/>
                </w:rPr>
                <w:t>должны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повышать квалификацию.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Начальник отдела кадров к этой </w:t>
            </w:r>
            <w:hyperlink r:id="rId16" w:history="1">
              <w:r>
                <w:rPr>
                  <w:rStyle w:val="a3"/>
                  <w:color w:val="0000FF"/>
                </w:rPr>
                <w:t>категории персонала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 относится, номенклатура должностей утверждена </w:t>
            </w:r>
            <w:hyperlink r:id="rId17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Минздрава России от 20.12.2012 N 1183н «Об утверждении Номенклатуры должностей медицинских работников и фармацевтических работников». Требование проходить дополнительное обучение для него не предусмотрено, поэтому подобные расходы организации считаются нецелевыми.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7.75pt;height:.75pt" o:hralign="center" o:hrstd="t" o:hr="t" fillcolor="#a0a0a0" stroked="f"/>
              </w:pic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32C7" w:rsidRDefault="005B32C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 xml:space="preserve">ВАЖНО ЗНАТЬ БУХГАЛТЕРУ 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  <w:hyperlink r:id="rId18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считать процент отклонения при искажении показателей в </w:t>
              </w:r>
              <w:proofErr w:type="spellStart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бухотчетности</w:t>
              </w:r>
              <w:proofErr w:type="spellEnd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 учреждения: знакомимся с разъяснениями суда </w:t>
              </w:r>
            </w:hyperlink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32C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32C7" w:rsidRDefault="005B3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искажение любого показателя бухгалтерской (финансовой) отчетности, выраженного в денежном измерении, не менее чем на 10% является грубым нарушением. </w:t>
                  </w:r>
                </w:p>
              </w:tc>
            </w:tr>
          </w:tbl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32C7" w:rsidRDefault="005B32C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 wp14:anchorId="270F4CBB" wp14:editId="10FF717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28675"/>
                  <wp:effectExtent l="0" t="0" r="9525" b="9525"/>
                  <wp:wrapSquare wrapText="bothSides"/>
                  <wp:docPr id="24" name="Рисунок 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Ленинский районный суд города Ульяновска в своем </w:t>
            </w:r>
            <w:hyperlink r:id="rId20" w:history="1">
              <w:r>
                <w:rPr>
                  <w:rStyle w:val="a3"/>
                  <w:color w:val="0000FF"/>
                </w:rPr>
                <w:t>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18.02.2021 по делу N 12-121/2021 не принял расчет значений показателя баланса и оштрафовал главного бухгалтера учреждения  </w:t>
            </w:r>
            <w:hyperlink r:id="rId21" w:history="1">
              <w:r>
                <w:rPr>
                  <w:rStyle w:val="a3"/>
                  <w:color w:val="0000FF"/>
                </w:rPr>
                <w:t>за грубое нарушение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правил бухучета.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Главбух несвоевременно начислил налог на имущество и исказил показатель по счету 303 00 в балансе. Сотрудник посчитал, что нарушение негрубое –  искажение составило всего 0,1%. Это значение он рассчитал так: сумму отклонения от корректного показателя по платежам в бюджеты разделил на общую сумму обязательств (итого по разделу III баланса).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Суд такой расчет не принял. В </w:t>
            </w:r>
            <w:hyperlink r:id="rId22" w:history="1">
              <w:r>
                <w:rPr>
                  <w:rStyle w:val="a3"/>
                  <w:color w:val="0000FF"/>
                </w:rPr>
                <w:t>КоАП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РФ проценты искажения установлены для показателей отчетности, а не для информации об активах, обязательствах и о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финрезультате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целом. В расчет надо брать правильное значение показателя, который исказили. В данном случае это показатель по счету 303 00. Бухгалтер исказил его более чем на 10%, поэтому нарушение грубое.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67.75pt;height:.75pt" o:hralign="center" o:hrstd="t" o:hr="t" fillcolor="#a0a0a0" stroked="f"/>
              </w:pic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  <w:hyperlink r:id="rId23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Как учреждению списать учтенное на </w:t>
              </w:r>
              <w:proofErr w:type="spellStart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>забалансовом</w:t>
              </w:r>
              <w:proofErr w:type="spellEnd"/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 счете 02 имущество, не признанное активом в связи с его ликвидацией </w:t>
              </w:r>
            </w:hyperlink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32C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32C7" w:rsidRDefault="005B3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если имущество не относится к недвижимому или особо ценному движимому имуществу (ОЦДИ), то его списание производится на основании решения комиссии учреждения по поступлению и выбытию активов. Если имущество относится к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недвижимому</w:t>
                  </w:r>
                  <w:proofErr w:type="gramEnd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 или ОЦДИ, то для списания потребуется также согласование с учредителем, после чего его можно списать с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>забалансового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 учета. </w:t>
                  </w:r>
                </w:p>
              </w:tc>
            </w:tr>
          </w:tbl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32C7" w:rsidRDefault="005B32C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 wp14:anchorId="32AF7E73" wp14:editId="1192D4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3" name="Рисунок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Эксперт в </w:t>
            </w:r>
            <w:hyperlink r:id="rId25" w:history="1">
              <w:r>
                <w:rPr>
                  <w:rStyle w:val="a3"/>
                  <w:color w:val="0000FF"/>
                </w:rPr>
                <w:t>консультации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дал разъяснение, как списать учтенное на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счете 02 имущество, не признанное активом в связи с его ликвидацией.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соответствии с </w:t>
            </w:r>
            <w:hyperlink r:id="rId26" w:history="1">
              <w:r>
                <w:rPr>
                  <w:rStyle w:val="a3"/>
                  <w:color w:val="0000FF"/>
                </w:rPr>
                <w:t>п. 335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Инструкции, утвержденной </w:t>
            </w:r>
            <w:hyperlink r:id="rId27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01.12.2010 N 157н, на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hyperlink r:id="rId28" w:history="1">
              <w:r>
                <w:rPr>
                  <w:rStyle w:val="a3"/>
                  <w:color w:val="0000FF"/>
                </w:rPr>
                <w:t>счете 02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«Материальные ценности на хранении» учитываются материальные ценности, которые в том числе: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не соответствуют критериям активов;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>– непригодны для дальнейшего использования на основании решения комиссии о списании с балансового учета (прекращении эксплуатации) до момента их демонтажа (утилизации, уничтожения).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При этом согласование выбытия объекта основных средств с органом, осуществляющим функции и полномочия учредителя и (или) собственника имущества, требуется не только при списании имущества с баланса, но и с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забалансового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hyperlink r:id="rId29" w:history="1">
              <w:r>
                <w:rPr>
                  <w:rStyle w:val="a3"/>
                  <w:color w:val="0000FF"/>
                </w:rPr>
                <w:t>счета 02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(</w:t>
            </w:r>
            <w:hyperlink r:id="rId30" w:history="1">
              <w:r>
                <w:rPr>
                  <w:rStyle w:val="a3"/>
                  <w:color w:val="0000FF"/>
                </w:rPr>
                <w:t>п. 52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N 157н).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Так, в соответствии с </w:t>
            </w:r>
            <w:hyperlink r:id="rId31" w:history="1">
              <w:r>
                <w:rPr>
                  <w:rStyle w:val="a3"/>
                  <w:color w:val="0000FF"/>
                </w:rPr>
                <w:t>п. 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Положения об особенностях списания федерального имущества, утвержденного Постановлением Правительства РФ от 14.10.2010 N 834, решение о списании федерального имущества принимается в отношении: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федерального движимого имущества, за исключением особо ценного движимого имущества, закрепленного за федеральными бюджетными и автономными учреждениями учредителем либо приобретенного федеральными бюджетными и автономными учреждениями за счет средств, выделенных учредителем на приобретение такого имущества, – указанными учреждениями самостоятельно;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федерального недвижимого имущества (включая объекты незавершенного строительства), закрепленного за федеральными бюджетными учреждениями на праве оперативного управления, а также особо ценного движимого имущества, закрепленного за федеральными бюджетными учреждениями учредителем либо приобретенного федеральными бюджетными учреждениями за счет средств, выделенных учредителем на приобретение такого имущества, – бюджетными учреждениями по согласованию с федеральными органами государственной власти (федеральными государственными органами), осуществляющими функции и полномочия учредителя федеральных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бюджетных учреждений.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Таким образом, если данное имущество не относится к недвижимому или ОЦДИ, то учреждение может его списать на основании решения (протокола) комиссии по поступлению и выбытию активов. Оформить списание можно актом о списании объектов нефинансовых активов </w:t>
            </w:r>
            <w:hyperlink r:id="rId32" w:history="1">
              <w:r>
                <w:rPr>
                  <w:rStyle w:val="a3"/>
                  <w:color w:val="0000FF"/>
                </w:rPr>
                <w:t>(ф. 0504104)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Если данное имущество относится к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недвижимому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или ОЦДИ, то дополнительно потребуется согласование его списания с учредителем. В этом случае выбытие объектов учета с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забалансового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hyperlink r:id="rId33" w:history="1">
              <w:r>
                <w:rPr>
                  <w:rStyle w:val="a3"/>
                  <w:color w:val="0000FF"/>
                </w:rPr>
                <w:t>счета 02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производится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на основании акта о списании при наличии в нем согласования решения о списании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 собственником имущества (с органом, осуществляющим функции и полномочия учредителя и (или) собственника имущества) и утверждающей надписи руководителя учреждения (</w:t>
            </w:r>
            <w:hyperlink r:id="rId34" w:history="1">
              <w:r>
                <w:rPr>
                  <w:rStyle w:val="a3"/>
                  <w:color w:val="0000FF"/>
                </w:rPr>
                <w:t>п. 52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N 157н).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Учет на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</w:t>
            </w:r>
            <w:hyperlink r:id="rId35" w:history="1">
              <w:r>
                <w:rPr>
                  <w:rStyle w:val="a3"/>
                  <w:color w:val="0000FF"/>
                </w:rPr>
                <w:t>счете 02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ведется по простой системе бухгалтерских записей: при принятии основных средств на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забалансовый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учет сумма по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забалансовом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счете увеличивается, при выбытии – уменьшается (</w:t>
            </w:r>
            <w:hyperlink r:id="rId36" w:history="1">
              <w:r>
                <w:rPr>
                  <w:rStyle w:val="a3"/>
                  <w:color w:val="0000FF"/>
                </w:rPr>
                <w:t>п. 332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Инструкции N 157н).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7" style="width:467.75pt;height:.75pt" o:hralign="center" o:hrstd="t" o:hr="t" fillcolor="#a0a0a0" stroked="f"/>
              </w:pic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  <w:hyperlink r:id="rId3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Нужно ли отражать в РВС оплату выходных дней для ухода за детьми-инвалидами </w:t>
              </w:r>
            </w:hyperlink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32C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32C7" w:rsidRDefault="005B3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в отчетности РСВ суммы оплаты выходных дней для ухода за детьми-инвалидами не отражаются. </w:t>
                  </w:r>
                </w:p>
              </w:tc>
            </w:tr>
          </w:tbl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32C7" w:rsidRDefault="005B32C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58240" behindDoc="0" locked="0" layoutInCell="1" allowOverlap="0" wp14:anchorId="48EC1A7C" wp14:editId="24C0EC6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22" name="Рисунок 2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39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«Что нужно делать работодателю для выплаты пособия в 2021 году, в том числе напрямую из ФСС» в СПС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КонсультантПлюс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содержится ответ на вопрос, как в связи с переходом на прямые выплаты работодатель должен оплачивать сотруднику выходные дни для ухода за ребенком-инвалидом.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В 2021 году во всех субъектах РФ пособия выплачиваются с учетом следующих особенностей: работодатель за свой счет оплачивает дополнительные выходные дни для ухода за ребенком-инвалидом. Эти суммы нельзя зачесть в счет уплаты страховых взносов, они будут возмещены из бюджета ФСС РФ. В отчетности РСВ они не отражаются. Фонд возмещает работодателю затраты по оплате дополнительных выходных дней, включая сумму уплаченных страховых взносов (</w:t>
            </w:r>
            <w:hyperlink r:id="rId40" w:history="1">
              <w:r>
                <w:rPr>
                  <w:rStyle w:val="a3"/>
                  <w:color w:val="0000FF"/>
                </w:rPr>
                <w:t>п. 11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Постановления Правительства РФ от 21.04.2011 N 294).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Для этого в Фонд нужно представить заявление и заверенную копию приказа о предоставлении дополнительных выходных дней одному из родителей.</w:t>
            </w:r>
            <w:r>
              <w:rPr>
                <w:rFonts w:ascii="Calibri" w:hAnsi="Calibri" w:cs="Arial"/>
                <w:color w:val="444444"/>
                <w:sz w:val="22"/>
                <w:szCs w:val="22"/>
                <w:u w:val="single"/>
              </w:rPr>
              <w:t xml:space="preserve"> 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#a0a0a0" stroked="f"/>
              </w:pic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32C7" w:rsidRDefault="005B32C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МОСКВА 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  <w:hyperlink r:id="rId4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Москва: принят новый порядок работы аттестационных комиссий по проведению аттестации медицинских и фармацевтических работников в 2021 году </w:t>
              </w:r>
            </w:hyperlink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32C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32C7" w:rsidRDefault="005B3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31 марта 2021 года работу аттестационных комиссий Департамента здравоохранения города Москвы необходимо организовывать, руководствуясь положениями нового порядка. </w:t>
                  </w:r>
                </w:p>
              </w:tc>
            </w:tr>
          </w:tbl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32C7" w:rsidRDefault="005B32C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 wp14:anchorId="183AE239" wp14:editId="2605694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95350"/>
                  <wp:effectExtent l="0" t="0" r="9525" b="0"/>
                  <wp:wrapSquare wrapText="bothSides"/>
                  <wp:docPr id="21" name="Рисунок 2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3" w:history="1">
              <w:proofErr w:type="gramStart"/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Департамента здравоохранения г. Москвы от 31.03.2021 N 286 предписано организовать работу аттестационной комиссии Департамента здравоохранения города Москвы по проведению аттестации медицинских и фармацевтических работников, претендующих на присвоение квалификационной категории впервые и более высокой квалификационной категории, с соблюдением санитарно-эпидемиологических правил, обеспечивающих предупреждение возникновения и распространения случаев заболевания новой </w:t>
            </w:r>
            <w:proofErr w:type="spell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коронавирусной</w:t>
            </w:r>
            <w:proofErr w:type="spell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инфекцией (COVID-19) в городе Москве, очно и (или) с помощью дистанционных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технологий в соответствии с Приказом Департамента здравоохранения города Москвы от 02.07.2019 N 474 «Об Аттестационной комиссии Департамента здравоохранения города Москвы».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Приказ вступил в силу 31 марта 2021 года.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#a0a0a0" stroked="f"/>
              </w:pic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5B32C7" w:rsidRDefault="005B32C7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МОСКОВСКАЯ ОБЛАСТЬ 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  <w:hyperlink r:id="rId44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Внесены изменения в порядок предоставления </w:t>
              </w:r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lastRenderedPageBreak/>
                <w:t xml:space="preserve">единовременных компенсационных выплат медицинским работникам, прибывшим на работу в сельские населенные пункты </w:t>
              </w:r>
            </w:hyperlink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32C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32C7" w:rsidRDefault="005B3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lastRenderedPageBreak/>
                    <w:t xml:space="preserve">Риски: предоставление единовременных компенсационных выплат медицинским работникам,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необходимо осуществлять в соответствии с новым порядком. </w:t>
                  </w:r>
                </w:p>
              </w:tc>
            </w:tr>
          </w:tbl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32C7" w:rsidRDefault="005B32C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 wp14:anchorId="38A43743" wp14:editId="0EE8CBD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790575"/>
                  <wp:effectExtent l="0" t="0" r="9525" b="9525"/>
                  <wp:wrapSquare wrapText="bothSides"/>
                  <wp:docPr id="20" name="Рисунок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6" w:history="1">
              <w:r>
                <w:rPr>
                  <w:rStyle w:val="a3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Московской области от 23.03.2021 N 203/9 внесены </w:t>
            </w:r>
            <w:hyperlink r:id="rId47" w:history="1">
              <w:r>
                <w:rPr>
                  <w:rStyle w:val="a3"/>
                  <w:color w:val="0000FF"/>
                </w:rPr>
                <w:t>изменения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</w:t>
            </w:r>
            <w:hyperlink r:id="rId48" w:history="1">
              <w:r>
                <w:rPr>
                  <w:rStyle w:val="a3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Правительства Московской области от 03.04.2018 N 204/13. Установлено, что единовременные компенсационные выплаты осуществляются медицинским работникам (врачам, фельдшерам), выполнившим обязательства, связанные с целевым обучением (целевой подготовкой), при условии продолжения ими работы в той же медицинской организации, расположенной в сельском населенном пункте, либо рабочем поселке, либо поселке городского типа, либо городе с населением до 50 тыс. человек.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Размер единовременной компенсационной выплаты составляет: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1,5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млн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рублей для врачей и 0,75 млн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территориях, перечень которых утверждается Распоряжением Правительства Московской области;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1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млн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рублей для врачей и 0,5 млн рублей для фельдшеров, а также акушерок и медицинских сестер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 (за исключением указанных выше), либо города с населением до 50 тысяч человек.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Медицинский работник принимает на себя следующие обязательства: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исполнять трудовые обязанности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в течение пяти лет со дня заключения договора на должности в соответствии с трудовым договором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при условии продления договора на период неисполнения трудовой функции в полном объеме;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возвратить в бюджет Московской области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      </w:r>
            <w:hyperlink r:id="rId49" w:history="1">
              <w:r>
                <w:rPr>
                  <w:rStyle w:val="a3"/>
                  <w:color w:val="0000FF"/>
                </w:rPr>
                <w:t>п. 8 части первой ст. 77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 ТК РФ и </w:t>
            </w:r>
            <w:hyperlink r:id="rId50" w:history="1">
              <w:proofErr w:type="spellStart"/>
              <w:r>
                <w:rPr>
                  <w:rStyle w:val="a3"/>
                  <w:color w:val="0000FF"/>
                </w:rPr>
                <w:t>пп</w:t>
              </w:r>
              <w:proofErr w:type="spellEnd"/>
              <w:r>
                <w:rPr>
                  <w:rStyle w:val="a3"/>
                  <w:color w:val="0000FF"/>
                </w:rPr>
                <w:t>. 5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-</w:t>
            </w:r>
            <w:hyperlink r:id="rId51" w:history="1">
              <w:r>
                <w:rPr>
                  <w:rStyle w:val="a3"/>
                  <w:color w:val="0000FF"/>
                </w:rPr>
                <w:t>7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ст. 83 ТК РФ, а также в случае перевода на другую должность или поступления на обучение по</w:t>
            </w:r>
            <w:proofErr w:type="gramEnd"/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дополнительным профессиональным программам, возвратить в бюджет Московской области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или продлить срок действия договора на период неисполнения функциональных обязанностей (по выбору медицинского работника).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br/>
              <w:t>Постановление вступило в силу 14 апреля 2021 года.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#a0a0a0" stroked="f"/>
              </w:pic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  <w:hyperlink r:id="rId5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В Закон Московской области о государственной гражданской службе внесены изменения </w:t>
              </w:r>
            </w:hyperlink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5B32C7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5B32C7" w:rsidRDefault="005B32C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10 апреля 2021 года при направлении представителей в составы комиссий по урегулированию конфликтов интересов необходимо руководствоваться внесенными изменениями. </w:t>
                  </w:r>
                </w:p>
              </w:tc>
            </w:tr>
          </w:tbl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5B32C7" w:rsidRDefault="005B32C7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8240" behindDoc="0" locked="0" layoutInCell="1" allowOverlap="0" wp14:anchorId="13E11AC0" wp14:editId="3DCC063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1190625"/>
                  <wp:effectExtent l="0" t="0" r="9525" b="9525"/>
                  <wp:wrapSquare wrapText="bothSides"/>
                  <wp:docPr id="19" name="Рисунок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54" w:history="1">
              <w:r>
                <w:rPr>
                  <w:rStyle w:val="a3"/>
                  <w:color w:val="0000FF"/>
                </w:rPr>
                <w:t>Законом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Московской области от 09.04.2021 N 49/2021-ОЗ внесены изменения в положения об органе по управлению государственной службой Московской области, утвержденные </w:t>
            </w:r>
            <w:hyperlink r:id="rId55" w:history="1">
              <w:r>
                <w:rPr>
                  <w:rStyle w:val="a3"/>
                  <w:color w:val="0000FF"/>
                </w:rPr>
                <w:t>Законом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Московской области N 39/2005-ОЗ «О государственной гражданской службе Московской области». Уточнено, что указанный орган направляет своих представителей в составы комиссий по урегулированию конфликтов интересов (за исключением комиссии, образованной в Московской областной Думе). </w:t>
            </w:r>
            <w:proofErr w:type="gramStart"/>
            <w:r>
              <w:rPr>
                <w:rFonts w:ascii="Calibri" w:hAnsi="Calibri" w:cs="Arial"/>
                <w:color w:val="444444"/>
                <w:sz w:val="22"/>
                <w:szCs w:val="22"/>
              </w:rPr>
              <w:t>По запросу представителя нанимателя орган по управлению государственной службой Московской области приглашает в качестве независимых экспертов представителей научных, образовательных и других организаций, являющихся специалистами в соответствующих областях и видах профессиональной служебной деятельности гражданских служащих Московской области, по вопросам кадровых технологий и гражданской службы, в составы комиссий по урегулированию конфликтов интересов, конкурсных и аттестационных комиссий государственных органов.</w:t>
            </w:r>
            <w:proofErr w:type="gramEnd"/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Приглашение и отбор включаемых в составы конкурсных и аттестационных комиссий представителей научных, образовательных и других организаций осуществляются в порядке, установленном нормативным правовым актом Губернатора Московской области.</w:t>
            </w:r>
          </w:p>
          <w:p w:rsidR="005B32C7" w:rsidRDefault="005B32C7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Оплата труда включаемых в составы конкурсных и аттестационных комиссий представителей научных, образовательных и других организаций осуществляется в порядке, установленном Губернатором Московской области.</w: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1" style="width:467.75pt;height:.75pt" o:hralign="center" o:hrstd="t" o:hr="t" fillcolor="#a0a0a0" stroked="f"/>
              </w:pict>
            </w: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vAlign w:val="center"/>
            <w:hideMark/>
          </w:tcPr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5B32C7" w:rsidRDefault="005B32C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tcMar>
              <w:top w:w="0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5B32C7" w:rsidRDefault="005B32C7">
            <w:pPr>
              <w:jc w:val="center"/>
              <w:rPr>
                <w:rFonts w:eastAsia="Times New Roman"/>
              </w:rPr>
            </w:pPr>
          </w:p>
        </w:tc>
      </w:tr>
      <w:tr w:rsidR="005B32C7" w:rsidTr="005B32C7">
        <w:trPr>
          <w:jc w:val="center"/>
        </w:trPr>
        <w:tc>
          <w:tcPr>
            <w:tcW w:w="9002" w:type="dxa"/>
            <w:shd w:val="clear" w:color="auto" w:fill="FFFFFF"/>
            <w:vAlign w:val="center"/>
            <w:hideMark/>
          </w:tcPr>
          <w:p w:rsidR="005B32C7" w:rsidRDefault="005B32C7">
            <w:pPr>
              <w:rPr>
                <w:rFonts w:eastAsia="Times New Roman"/>
              </w:rPr>
            </w:pPr>
          </w:p>
        </w:tc>
      </w:tr>
    </w:tbl>
    <w:p w:rsidR="006F70B4" w:rsidRDefault="006F70B4"/>
    <w:sectPr w:rsidR="006F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02"/>
    <w:rsid w:val="005B32C7"/>
    <w:rsid w:val="006F70B4"/>
    <w:rsid w:val="00B3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C7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5B32C7"/>
  </w:style>
  <w:style w:type="character" w:customStyle="1" w:styleId="title-main">
    <w:name w:val="title-main"/>
    <w:basedOn w:val="a0"/>
    <w:rsid w:val="005B32C7"/>
  </w:style>
  <w:style w:type="paragraph" w:styleId="a5">
    <w:name w:val="Balloon Text"/>
    <w:basedOn w:val="a"/>
    <w:link w:val="a6"/>
    <w:uiPriority w:val="99"/>
    <w:semiHidden/>
    <w:unhideWhenUsed/>
    <w:rsid w:val="005B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C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C7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5B32C7"/>
  </w:style>
  <w:style w:type="character" w:customStyle="1" w:styleId="title-main">
    <w:name w:val="title-main"/>
    <w:basedOn w:val="a0"/>
    <w:rsid w:val="005B32C7"/>
  </w:style>
  <w:style w:type="paragraph" w:styleId="a5">
    <w:name w:val="Balloon Text"/>
    <w:basedOn w:val="a"/>
    <w:link w:val="a6"/>
    <w:uiPriority w:val="99"/>
    <w:semiHidden/>
    <w:unhideWhenUsed/>
    <w:rsid w:val="005B32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78776&amp;uid_news=1081237&amp;cli=" TargetMode="External"/><Relationship Id="rId18" Type="http://schemas.openxmlformats.org/officeDocument/2006/relationships/hyperlink" Target="http://work.elcode.ru/subscribe/link/?hash=bd3fce39129aa9d983a3b46787c25e43&amp;id_send=16992&amp;id_email=9320355&amp;url=https%3A%2F%2Flogin.consultant.ru%2Flink%2F%3Freq%3Ddoc%26base%3DAOPV%26n%3D10551614%26dst%3D100013&amp;uid_news=1081210&amp;cli=" TargetMode="External"/><Relationship Id="rId26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102357&amp;uid_news=1081190&amp;cli=" TargetMode="External"/><Relationship Id="rId39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PBI%26amp%3Bn%3D278356%26amp%3Bdst%3D100001&amp;uid_news=1081151&amp;cli=" TargetMode="External"/><Relationship Id="rId21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80489%26amp%3Bdst%3D8555&amp;uid_news=1081210&amp;cli=" TargetMode="External"/><Relationship Id="rId34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102201&amp;uid_news=1081190&amp;cli=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MOB%26amp%3Bn%3D334625%26amp%3Bdst%3D100010&amp;uid_news=1081097&amp;cli=" TargetMode="External"/><Relationship Id="rId50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81452%26amp%3Bdst%3D516&amp;uid_news=1081097&amp;cli=" TargetMode="External"/><Relationship Id="rId55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MOB%26amp%3Bn%3D334492%26amp%3Bdst%3D100005&amp;uid_news=1081082&amp;cli=" TargetMode="External"/><Relationship Id="rId7" Type="http://schemas.openxmlformats.org/officeDocument/2006/relationships/hyperlink" Target="http://work.elcode.ru/subscribe/link/?hash=bd3fce39129aa9d983a3b46787c25e43&amp;id_send=16992&amp;id_email=9320355&amp;url=https%3A%2F%2Flogin.consultant.ru%2Flink%2F%3Freq%3Ddoc%26base%3DASVS%26n%3D898521&amp;uid_news=1081237&amp;cli=" TargetMode="External"/><Relationship Id="rId12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5083%26amp%3Bdst%3D100969&amp;uid_news=1081237&amp;cli=" TargetMode="External"/><Relationship Id="rId17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3885%26amp%3Bdst%3D1000000027&amp;uid_news=1081237&amp;cli=" TargetMode="External"/><Relationship Id="rId25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QSBO%26amp%3Bn%3D22077%26amp%3Bdst%3D100002&amp;uid_news=1081190&amp;cli=" TargetMode="External"/><Relationship Id="rId33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102356&amp;uid_news=1081190&amp;cli=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MOB%26amp%3Bn%3D334625%26amp%3Bdst%3D1000000008&amp;uid_news=1081097&amp;cli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3885%26amp%3Bdst%3D100009&amp;uid_news=1081237&amp;cli=" TargetMode="External"/><Relationship Id="rId20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AOPV%26amp%3Bn%3D10551614%26amp%3Bdst%3D100013&amp;uid_news=1081210&amp;cli=" TargetMode="External"/><Relationship Id="rId29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102356&amp;uid_news=1081190&amp;cli=" TargetMode="External"/><Relationship Id="rId41" Type="http://schemas.openxmlformats.org/officeDocument/2006/relationships/hyperlink" Target="http://work.elcode.ru/subscribe/link/?hash=bd3fce39129aa9d983a3b46787c25e43&amp;id_send=16992&amp;id_email=9320355&amp;url=https%3A%2F%2Flogin.consultant.ru%2Flink%2F%3Freq%3Ddoc%26base%3DMLAW%26n%3D211119%26dst%3D100003&amp;uid_news=1081103&amp;cli=" TargetMode="External"/><Relationship Id="rId54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MOB%26amp%3Bn%3D334418%26amp%3Bdst%3D1000000007&amp;uid_news=1081082&amp;cli=" TargetMode="External"/><Relationship Id="rId1" Type="http://schemas.openxmlformats.org/officeDocument/2006/relationships/styles" Target="styles.xml"/><Relationship Id="rId6" Type="http://schemas.openxmlformats.org/officeDocument/2006/relationships/image" Target="cid:4da7353b5033657b583aed6944f2f434@swift.generated" TargetMode="External"/><Relationship Id="rId11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5083%26amp%3Bdst%3D100963&amp;uid_news=1081237&amp;cli=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2627%26amp%3Bdst%3D100381&amp;uid_news=1081190&amp;cli=" TargetMode="External"/><Relationship Id="rId37" Type="http://schemas.openxmlformats.org/officeDocument/2006/relationships/hyperlink" Target="http://work.elcode.ru/subscribe/link/?hash=bd3fce39129aa9d983a3b46787c25e43&amp;id_send=16992&amp;id_email=9320355&amp;url=https%3A%2F%2Flogin.consultant.ru%2Flink%2F%3Freq%3Ddoc%26base%3DPBI%26n%3D278356%26dst%3D100001&amp;uid_news=1081151&amp;cli=" TargetMode="External"/><Relationship Id="rId40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37726%26amp%3Bdst%3D100081&amp;uid_news=1081151&amp;cli=" TargetMode="External"/><Relationship Id="rId45" Type="http://schemas.openxmlformats.org/officeDocument/2006/relationships/image" Target="media/image7.jpeg"/><Relationship Id="rId53" Type="http://schemas.openxmlformats.org/officeDocument/2006/relationships/image" Target="media/image8.jpeg"/><Relationship Id="rId5" Type="http://schemas.openxmlformats.org/officeDocument/2006/relationships/image" Target="media/image1.png"/><Relationship Id="rId15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56000%26amp%3Bdst%3D100790&amp;uid_news=1081237&amp;cli=" TargetMode="External"/><Relationship Id="rId23" Type="http://schemas.openxmlformats.org/officeDocument/2006/relationships/hyperlink" Target="http://work.elcode.ru/subscribe/link/?hash=bd3fce39129aa9d983a3b46787c25e43&amp;id_send=16992&amp;id_email=9320355&amp;url=https%3A%2F%2Flogin.consultant.ru%2Flink%2F%3Freq%3Ddoc%26base%3DQSBO%26n%3D22077%26dst%3D100001&amp;uid_news=1081190&amp;cli=" TargetMode="External"/><Relationship Id="rId28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2648&amp;uid_news=1081190&amp;cli=" TargetMode="External"/><Relationship Id="rId36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101586&amp;uid_news=1081190&amp;cli=" TargetMode="External"/><Relationship Id="rId49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81452%26amp%3Bdst%3D484&amp;uid_news=1081097&amp;cli=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5083%26amp%3Bdst%3D100963&amp;uid_news=1081237&amp;cli=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59324%26amp%3Bdst%3D2&amp;uid_news=1081190&amp;cli=" TargetMode="External"/><Relationship Id="rId44" Type="http://schemas.openxmlformats.org/officeDocument/2006/relationships/hyperlink" Target="http://work.elcode.ru/subscribe/link/?hash=bd3fce39129aa9d983a3b46787c25e43&amp;id_send=16992&amp;id_email=9320355&amp;url=https%3A%2F%2Flogin.consultant.ru%2Flink%2F%3Freq%3Ddoc%26base%3DMOB%26n%3D334625%26dst%3D1000000005&amp;uid_news=1081097&amp;cli=" TargetMode="External"/><Relationship Id="rId52" Type="http://schemas.openxmlformats.org/officeDocument/2006/relationships/hyperlink" Target="http://work.elcode.ru/subscribe/link/?hash=bd3fce39129aa9d983a3b46787c25e43&amp;id_send=16992&amp;id_email=9320355&amp;url=https%3A%2F%2Flogin.consultant.ru%2Flink%2F%3Freq%3Ddoc%26base%3DMOB%26n%3D334418%26dst%3D100005&amp;uid_news=1081082&amp;cl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ASVS%26amp%3Bn%3D898521&amp;uid_news=1081237&amp;cli=" TargetMode="External"/><Relationship Id="rId14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78776%26amp%3Bdst%3D1952&amp;uid_news=1081237&amp;cli=" TargetMode="External"/><Relationship Id="rId22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81521&amp;uid_news=1081210&amp;cli=" TargetMode="External"/><Relationship Id="rId27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520&amp;uid_news=1081190&amp;cli=" TargetMode="External"/><Relationship Id="rId30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102201&amp;uid_news=1081190&amp;cli=" TargetMode="External"/><Relationship Id="rId35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64484%26amp%3Bdst%3D102356&amp;uid_news=1081190&amp;cli=" TargetMode="External"/><Relationship Id="rId43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MLAW%26amp%3Bn%3D211119%26amp%3Bdst%3D100007&amp;uid_news=1081103&amp;cli=" TargetMode="External"/><Relationship Id="rId48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MOB%26amp%3Bn%3D312918&amp;uid_news=1081097&amp;cli=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ork.elcode.ru/subscribe/link/?hash=bd3fce39129aa9d983a3b46787c25e43&amp;id_send=16992&amp;id_email=9320355&amp;url=https%3A%2F%2Flogin.consultant.ru%2Flink%2F%3Freq%3Ddoc%26amp%3Bbase%3DLAW%26amp%3Bn%3D381452%26amp%3Bdst%3D100625&amp;uid_news=1081097&amp;cli=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3620</Words>
  <Characters>20636</Characters>
  <Application>Microsoft Office Word</Application>
  <DocSecurity>0</DocSecurity>
  <Lines>171</Lines>
  <Paragraphs>48</Paragraphs>
  <ScaleCrop>false</ScaleCrop>
  <Company>ООО "ЭЛКОД"</Company>
  <LinksUpToDate>false</LinksUpToDate>
  <CharactersWithSpaces>24208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(Игонина) Анна Дмитриевна</dc:creator>
  <cp:keywords/>
  <dc:description/>
  <cp:lastModifiedBy>Ежова (Игонина) Анна Дмитриевна</cp:lastModifiedBy>
  <cp:revision>3</cp:revision>
  <dcterms:created xsi:type="dcterms:W3CDTF">2021-04-22T11:36:00Z</dcterms:created>
  <dcterms:modified xsi:type="dcterms:W3CDTF">2021-04-22T11:39:00Z</dcterms:modified>
</cp:coreProperties>
</file>