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7" w:type="dxa"/>
        <w:jc w:val="center"/>
        <w:shd w:val="clear" w:color="auto" w:fill="FFFFFF"/>
        <w:tblCellMar>
          <w:left w:w="0" w:type="dxa"/>
          <w:right w:w="0" w:type="dxa"/>
        </w:tblCellMar>
        <w:tblLook w:val="04A0" w:firstRow="1" w:lastRow="0" w:firstColumn="1" w:lastColumn="0" w:noHBand="0" w:noVBand="1"/>
      </w:tblPr>
      <w:tblGrid>
        <w:gridCol w:w="9008"/>
      </w:tblGrid>
      <w:tr w:rsidR="00AC01BD" w:rsidTr="00AC01BD">
        <w:trPr>
          <w:jc w:val="center"/>
        </w:trPr>
        <w:tc>
          <w:tcPr>
            <w:tcW w:w="9007" w:type="dxa"/>
            <w:shd w:val="clear" w:color="auto" w:fill="FFFFFF"/>
            <w:vAlign w:val="center"/>
            <w:hideMark/>
          </w:tcPr>
          <w:tbl>
            <w:tblPr>
              <w:tblW w:w="9000" w:type="dxa"/>
              <w:jc w:val="center"/>
              <w:shd w:val="clear" w:color="auto" w:fill="DDDEE2"/>
              <w:tblCellMar>
                <w:left w:w="0" w:type="dxa"/>
                <w:right w:w="0" w:type="dxa"/>
              </w:tblCellMar>
              <w:tblLook w:val="04A0" w:firstRow="1" w:lastRow="0" w:firstColumn="1" w:lastColumn="0" w:noHBand="0" w:noVBand="1"/>
            </w:tblPr>
            <w:tblGrid>
              <w:gridCol w:w="9000"/>
            </w:tblGrid>
            <w:tr w:rsidR="00AC01BD">
              <w:trPr>
                <w:jc w:val="center"/>
              </w:trPr>
              <w:tc>
                <w:tcPr>
                  <w:tcW w:w="8100" w:type="dxa"/>
                  <w:shd w:val="clear" w:color="auto" w:fill="DDDEE2"/>
                  <w:tcMar>
                    <w:top w:w="450" w:type="dxa"/>
                    <w:left w:w="450" w:type="dxa"/>
                    <w:bottom w:w="450" w:type="dxa"/>
                    <w:right w:w="450" w:type="dxa"/>
                  </w:tcMar>
                  <w:vAlign w:val="center"/>
                  <w:hideMark/>
                </w:tcPr>
                <w:p w:rsidR="00AC01BD" w:rsidRDefault="00AC01BD">
                  <w:pPr>
                    <w:jc w:val="center"/>
                    <w:rPr>
                      <w:rFonts w:eastAsia="Times New Roman"/>
                    </w:rPr>
                  </w:pPr>
                  <w:r>
                    <w:rPr>
                      <w:rStyle w:val="title-main"/>
                      <w:rFonts w:ascii="Arial" w:eastAsia="Times New Roman" w:hAnsi="Arial" w:cs="Arial"/>
                      <w:b/>
                      <w:bCs/>
                      <w:color w:val="333333"/>
                    </w:rPr>
                    <w:t xml:space="preserve">Здравствуйте! </w:t>
                  </w:r>
                  <w:r>
                    <w:rPr>
                      <w:rFonts w:ascii="Arial" w:eastAsia="Times New Roman" w:hAnsi="Arial" w:cs="Arial"/>
                      <w:b/>
                      <w:bCs/>
                      <w:color w:val="333333"/>
                    </w:rPr>
                    <w:br/>
                  </w:r>
                  <w:r>
                    <w:t xml:space="preserve">Обратите внимание на подборку новых документов, включенных в систему КонсультантПлюс за прошедшую неделю. По мнению наших экспертов, именно эти документы будут интересны Вам в первую очередь. </w:t>
                  </w:r>
                </w:p>
              </w:tc>
            </w:tr>
            <w:tr w:rsidR="00AC01BD">
              <w:trPr>
                <w:jc w:val="center"/>
              </w:trPr>
              <w:tc>
                <w:tcPr>
                  <w:tcW w:w="8100" w:type="dxa"/>
                  <w:shd w:val="clear" w:color="auto" w:fill="DDDEE2"/>
                  <w:tcMar>
                    <w:top w:w="300" w:type="dxa"/>
                    <w:left w:w="450" w:type="dxa"/>
                    <w:bottom w:w="300" w:type="dxa"/>
                    <w:right w:w="450" w:type="dxa"/>
                  </w:tcMar>
                  <w:vAlign w:val="center"/>
                  <w:hideMark/>
                </w:tcPr>
                <w:p w:rsidR="00AC01BD" w:rsidRDefault="00AC01BD">
                  <w:pPr>
                    <w:rPr>
                      <w:rFonts w:eastAsia="Times New Roman"/>
                      <w:sz w:val="20"/>
                      <w:szCs w:val="20"/>
                    </w:rPr>
                  </w:pPr>
                </w:p>
              </w:tc>
            </w:tr>
          </w:tbl>
          <w:p w:rsidR="00AC01BD" w:rsidRDefault="00AC01BD">
            <w:pPr>
              <w:jc w:val="center"/>
              <w:rPr>
                <w:rFonts w:eastAsia="Times New Roman"/>
                <w:sz w:val="20"/>
                <w:szCs w:val="20"/>
              </w:rPr>
            </w:pPr>
          </w:p>
        </w:tc>
      </w:tr>
      <w:tr w:rsidR="00AC01BD" w:rsidTr="00AC01BD">
        <w:trPr>
          <w:jc w:val="center"/>
        </w:trPr>
        <w:tc>
          <w:tcPr>
            <w:tcW w:w="9007" w:type="dxa"/>
            <w:shd w:val="clear" w:color="auto" w:fill="FFFFFF"/>
            <w:vAlign w:val="center"/>
            <w:hideMark/>
          </w:tcPr>
          <w:p w:rsidR="00AC01BD" w:rsidRDefault="00AC01BD">
            <w:pPr>
              <w:jc w:val="center"/>
              <w:rPr>
                <w:rFonts w:eastAsia="Times New Roman"/>
              </w:rPr>
            </w:pPr>
            <w:r>
              <w:rPr>
                <w:rFonts w:eastAsia="Times New Roman"/>
                <w:noProof/>
              </w:rPr>
              <w:drawing>
                <wp:inline distT="0" distB="0" distL="0" distR="0" wp14:anchorId="3152A164" wp14:editId="4A063EF0">
                  <wp:extent cx="5720080" cy="1233170"/>
                  <wp:effectExtent l="0" t="0" r="0" b="5080"/>
                  <wp:docPr id="1" name="Рисунок 1" descr="Tit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Imag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20080" cy="1233170"/>
                          </a:xfrm>
                          <a:prstGeom prst="rect">
                            <a:avLst/>
                          </a:prstGeom>
                          <a:noFill/>
                          <a:ln>
                            <a:noFill/>
                          </a:ln>
                        </pic:spPr>
                      </pic:pic>
                    </a:graphicData>
                  </a:graphic>
                </wp:inline>
              </w:drawing>
            </w:r>
          </w:p>
        </w:tc>
      </w:tr>
      <w:tr w:rsidR="00AC01BD" w:rsidTr="00AC01BD">
        <w:trPr>
          <w:jc w:val="center"/>
        </w:trPr>
        <w:tc>
          <w:tcPr>
            <w:tcW w:w="9007" w:type="dxa"/>
            <w:shd w:val="clear" w:color="auto" w:fill="D0D1D3"/>
            <w:tcMar>
              <w:top w:w="300" w:type="dxa"/>
              <w:left w:w="300" w:type="dxa"/>
              <w:bottom w:w="300" w:type="dxa"/>
              <w:right w:w="300" w:type="dxa"/>
            </w:tcMar>
            <w:vAlign w:val="center"/>
            <w:hideMark/>
          </w:tcPr>
          <w:p w:rsidR="00AC01BD" w:rsidRDefault="00AC01BD">
            <w:pPr>
              <w:rPr>
                <w:rFonts w:ascii="Arial" w:eastAsia="Times New Roman" w:hAnsi="Arial" w:cs="Arial"/>
                <w:sz w:val="27"/>
                <w:szCs w:val="27"/>
              </w:rPr>
            </w:pPr>
            <w:r>
              <w:rPr>
                <w:rFonts w:ascii="Arial" w:eastAsia="Times New Roman" w:hAnsi="Arial" w:cs="Arial"/>
                <w:sz w:val="27"/>
                <w:szCs w:val="27"/>
              </w:rPr>
              <w:t xml:space="preserve">ВАЖНО ЗНАТЬ РУКОВОДИТЕЛЮ </w:t>
            </w:r>
          </w:p>
        </w:tc>
      </w:tr>
      <w:tr w:rsidR="00AC01BD" w:rsidTr="00AC01BD">
        <w:trPr>
          <w:jc w:val="center"/>
        </w:trPr>
        <w:tc>
          <w:tcPr>
            <w:tcW w:w="9007" w:type="dxa"/>
            <w:shd w:val="clear" w:color="auto" w:fill="FFFFFF"/>
            <w:tcMar>
              <w:top w:w="300" w:type="dxa"/>
              <w:left w:w="450" w:type="dxa"/>
              <w:bottom w:w="150" w:type="dxa"/>
              <w:right w:w="450" w:type="dxa"/>
            </w:tcMar>
            <w:vAlign w:val="center"/>
            <w:hideMark/>
          </w:tcPr>
          <w:p w:rsidR="00AC01BD" w:rsidRDefault="00AC01BD">
            <w:pPr>
              <w:rPr>
                <w:rFonts w:eastAsia="Times New Roman"/>
              </w:rPr>
            </w:pPr>
            <w:hyperlink r:id="rId7" w:tgtFrame="_blank" w:history="1">
              <w:r>
                <w:rPr>
                  <w:rStyle w:val="a3"/>
                  <w:rFonts w:eastAsia="Times New Roman"/>
                  <w:b/>
                  <w:bCs/>
                  <w:color w:val="555555"/>
                  <w:sz w:val="27"/>
                  <w:szCs w:val="27"/>
                  <w:u w:val="none"/>
                </w:rPr>
                <w:t xml:space="preserve">Увольнение по инициативе госслужащего нельзя отложить, если госорган не успел применить взыскание </w:t>
              </w:r>
            </w:hyperlink>
          </w:p>
        </w:tc>
      </w:tr>
      <w:tr w:rsidR="00AC01BD" w:rsidTr="00AC01BD">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AC01BD">
              <w:tc>
                <w:tcPr>
                  <w:tcW w:w="7650" w:type="dxa"/>
                  <w:shd w:val="clear" w:color="auto" w:fill="EEEEEE"/>
                  <w:tcMar>
                    <w:top w:w="225" w:type="dxa"/>
                    <w:left w:w="225" w:type="dxa"/>
                    <w:bottom w:w="225" w:type="dxa"/>
                    <w:right w:w="225" w:type="dxa"/>
                  </w:tcMar>
                  <w:vAlign w:val="center"/>
                  <w:hideMark/>
                </w:tcPr>
                <w:p w:rsidR="00AC01BD" w:rsidRDefault="00AC01BD">
                  <w:pPr>
                    <w:rPr>
                      <w:rFonts w:eastAsia="Times New Roman"/>
                    </w:rPr>
                  </w:pPr>
                  <w:r>
                    <w:rPr>
                      <w:rFonts w:ascii="Arial" w:eastAsia="Times New Roman" w:hAnsi="Arial" w:cs="Arial"/>
                      <w:color w:val="444444"/>
                      <w:sz w:val="21"/>
                      <w:szCs w:val="21"/>
                    </w:rPr>
                    <w:t xml:space="preserve">Риски: прежде чем применить к госслужащему дисциплинарное взыскание, необходимо провести служебную проверку. В случае если будет нарушен порядок или не будут оформлены результаты проверки, сотрудник сможет оспорить ее результаты. </w:t>
                  </w:r>
                </w:p>
              </w:tc>
            </w:tr>
          </w:tbl>
          <w:p w:rsidR="00AC01BD" w:rsidRDefault="00AC01BD">
            <w:pPr>
              <w:rPr>
                <w:rFonts w:eastAsia="Times New Roman"/>
                <w:sz w:val="20"/>
                <w:szCs w:val="20"/>
              </w:rPr>
            </w:pPr>
          </w:p>
        </w:tc>
      </w:tr>
      <w:tr w:rsidR="00AC01BD" w:rsidTr="00AC01BD">
        <w:trPr>
          <w:jc w:val="center"/>
        </w:trPr>
        <w:tc>
          <w:tcPr>
            <w:tcW w:w="9007" w:type="dxa"/>
            <w:shd w:val="clear" w:color="auto" w:fill="FFFFFF"/>
            <w:tcMar>
              <w:top w:w="300" w:type="dxa"/>
              <w:left w:w="450" w:type="dxa"/>
              <w:bottom w:w="300" w:type="dxa"/>
              <w:right w:w="450" w:type="dxa"/>
            </w:tcMar>
            <w:vAlign w:val="center"/>
            <w:hideMark/>
          </w:tcPr>
          <w:p w:rsidR="00AC01BD" w:rsidRDefault="00AC01BD">
            <w:pPr>
              <w:spacing w:line="270" w:lineRule="atLeast"/>
              <w:rPr>
                <w:rFonts w:ascii="Arial" w:eastAsia="Times New Roman" w:hAnsi="Arial" w:cs="Arial"/>
                <w:color w:val="444444"/>
                <w:sz w:val="21"/>
                <w:szCs w:val="21"/>
              </w:rPr>
            </w:pPr>
            <w:r>
              <w:rPr>
                <w:noProof/>
              </w:rPr>
              <w:drawing>
                <wp:anchor distT="0" distB="0" distL="142875" distR="142875" simplePos="0" relativeHeight="251659264" behindDoc="0" locked="0" layoutInCell="1" allowOverlap="0" wp14:anchorId="03FDA5EA" wp14:editId="34D2ACA5">
                  <wp:simplePos x="0" y="0"/>
                  <wp:positionH relativeFrom="column">
                    <wp:align>left</wp:align>
                  </wp:positionH>
                  <wp:positionV relativeFrom="line">
                    <wp:posOffset>0</wp:posOffset>
                  </wp:positionV>
                  <wp:extent cx="1190625" cy="790575"/>
                  <wp:effectExtent l="0" t="0" r="9525" b="9525"/>
                  <wp:wrapSquare wrapText="bothSides"/>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AC01BD" w:rsidRDefault="00AC01BD">
            <w:pPr>
              <w:pStyle w:val="a4"/>
              <w:spacing w:line="270" w:lineRule="atLeast"/>
              <w:rPr>
                <w:rFonts w:ascii="Arial" w:hAnsi="Arial" w:cs="Arial"/>
                <w:color w:val="444444"/>
                <w:sz w:val="21"/>
                <w:szCs w:val="21"/>
              </w:rPr>
            </w:pPr>
            <w:r>
              <w:rPr>
                <w:rFonts w:ascii="Calibri" w:hAnsi="Calibri" w:cs="Arial"/>
                <w:color w:val="444444"/>
                <w:sz w:val="22"/>
                <w:szCs w:val="22"/>
              </w:rPr>
              <w:t xml:space="preserve">Седьмой кассационный суд общей юрисдикции в </w:t>
            </w:r>
            <w:hyperlink r:id="rId9" w:tooltip="Ссылка на КонсультантПлюс" w:history="1">
              <w:r>
                <w:rPr>
                  <w:rStyle w:val="a3"/>
                  <w:color w:val="0000FF"/>
                </w:rPr>
                <w:t>Определении</w:t>
              </w:r>
            </w:hyperlink>
            <w:r>
              <w:rPr>
                <w:rFonts w:ascii="Calibri" w:hAnsi="Calibri" w:cs="Arial"/>
                <w:color w:val="444444"/>
                <w:sz w:val="22"/>
                <w:szCs w:val="22"/>
              </w:rPr>
              <w:t xml:space="preserve"> по делу N 88-1346/2021, 2-1432/2020 встал на сторону работника.</w:t>
            </w:r>
          </w:p>
          <w:p w:rsidR="00AC01BD" w:rsidRDefault="00AC01BD">
            <w:pPr>
              <w:pStyle w:val="a4"/>
              <w:spacing w:line="270" w:lineRule="atLeast"/>
              <w:rPr>
                <w:rFonts w:ascii="Arial" w:hAnsi="Arial" w:cs="Arial"/>
                <w:color w:val="444444"/>
                <w:sz w:val="21"/>
                <w:szCs w:val="21"/>
              </w:rPr>
            </w:pPr>
            <w:r>
              <w:rPr>
                <w:rFonts w:ascii="Calibri" w:hAnsi="Calibri" w:cs="Arial"/>
                <w:color w:val="444444"/>
                <w:sz w:val="22"/>
                <w:szCs w:val="22"/>
              </w:rPr>
              <w:t xml:space="preserve">В отношении госслужащего провели проверку и установили, что он не уведомил нанимателя о конфликте интересов. Комиссия по соблюдению требований к служебному поведению </w:t>
            </w:r>
            <w:hyperlink r:id="rId10" w:history="1">
              <w:r>
                <w:rPr>
                  <w:rStyle w:val="a3"/>
                  <w:color w:val="0000FF"/>
                </w:rPr>
                <w:t>рекомендовала</w:t>
              </w:r>
            </w:hyperlink>
            <w:r>
              <w:rPr>
                <w:rFonts w:ascii="Calibri" w:hAnsi="Calibri" w:cs="Arial"/>
                <w:color w:val="444444"/>
                <w:sz w:val="22"/>
                <w:szCs w:val="22"/>
              </w:rPr>
              <w:t xml:space="preserve"> расторгнуть с сотрудником контракт.</w:t>
            </w:r>
          </w:p>
          <w:p w:rsidR="00AC01BD" w:rsidRDefault="00AC01BD">
            <w:pPr>
              <w:pStyle w:val="a4"/>
              <w:spacing w:line="270" w:lineRule="atLeast"/>
              <w:rPr>
                <w:rFonts w:ascii="Arial" w:hAnsi="Arial" w:cs="Arial"/>
                <w:color w:val="444444"/>
                <w:sz w:val="21"/>
                <w:szCs w:val="21"/>
              </w:rPr>
            </w:pPr>
            <w:r>
              <w:rPr>
                <w:rFonts w:ascii="Calibri" w:hAnsi="Calibri" w:cs="Arial"/>
                <w:color w:val="444444"/>
                <w:sz w:val="22"/>
                <w:szCs w:val="22"/>
              </w:rPr>
              <w:t xml:space="preserve">Служащий подал заявление об увольнении по собственному желанию. Позднее он ушел на больничный. Госорган </w:t>
            </w:r>
            <w:hyperlink r:id="rId11" w:history="1">
              <w:r>
                <w:rPr>
                  <w:rStyle w:val="a3"/>
                  <w:color w:val="0000FF"/>
                </w:rPr>
                <w:t>не мог</w:t>
              </w:r>
            </w:hyperlink>
            <w:r>
              <w:rPr>
                <w:rFonts w:ascii="Calibri" w:hAnsi="Calibri" w:cs="Arial"/>
                <w:color w:val="444444"/>
                <w:sz w:val="22"/>
                <w:szCs w:val="22"/>
              </w:rPr>
              <w:t xml:space="preserve"> применить взыскание в этот период. Когда истек </w:t>
            </w:r>
            <w:hyperlink r:id="rId12" w:history="1">
              <w:r>
                <w:rPr>
                  <w:rStyle w:val="a3"/>
                  <w:color w:val="0000FF"/>
                </w:rPr>
                <w:t>двухнедельный срок</w:t>
              </w:r>
            </w:hyperlink>
            <w:r>
              <w:rPr>
                <w:rFonts w:ascii="Calibri" w:hAnsi="Calibri" w:cs="Arial"/>
                <w:color w:val="444444"/>
                <w:sz w:val="22"/>
                <w:szCs w:val="22"/>
              </w:rPr>
              <w:t xml:space="preserve"> предупреждения, специалисты кадровой службы оформили увольнение по инициативе служащего.</w:t>
            </w:r>
          </w:p>
          <w:p w:rsidR="00AC01BD" w:rsidRDefault="00AC01BD">
            <w:pPr>
              <w:pStyle w:val="a4"/>
              <w:spacing w:line="270" w:lineRule="atLeast"/>
              <w:rPr>
                <w:rFonts w:ascii="Arial" w:hAnsi="Arial" w:cs="Arial"/>
                <w:color w:val="444444"/>
                <w:sz w:val="21"/>
                <w:szCs w:val="21"/>
              </w:rPr>
            </w:pPr>
            <w:r>
              <w:rPr>
                <w:rFonts w:ascii="Calibri" w:hAnsi="Calibri" w:cs="Arial"/>
                <w:color w:val="444444"/>
                <w:sz w:val="22"/>
                <w:szCs w:val="22"/>
              </w:rPr>
              <w:t>Наниматель дождался окончания больничного и </w:t>
            </w:r>
            <w:hyperlink r:id="rId13" w:history="1">
              <w:r>
                <w:rPr>
                  <w:rStyle w:val="a3"/>
                  <w:color w:val="0000FF"/>
                </w:rPr>
                <w:t>издал приказ</w:t>
              </w:r>
            </w:hyperlink>
            <w:r>
              <w:rPr>
                <w:rFonts w:ascii="Calibri" w:hAnsi="Calibri" w:cs="Arial"/>
                <w:color w:val="444444"/>
                <w:sz w:val="22"/>
                <w:szCs w:val="22"/>
              </w:rPr>
              <w:t xml:space="preserve"> об увольнении в связи с утратой доверия. Действия кадровиков он </w:t>
            </w:r>
            <w:hyperlink r:id="rId14" w:history="1">
              <w:r>
                <w:rPr>
                  <w:rStyle w:val="a3"/>
                  <w:color w:val="0000FF"/>
                </w:rPr>
                <w:t>обосновал ошибкой</w:t>
              </w:r>
            </w:hyperlink>
            <w:r>
              <w:rPr>
                <w:rFonts w:ascii="Calibri" w:hAnsi="Calibri" w:cs="Arial"/>
                <w:color w:val="444444"/>
                <w:sz w:val="22"/>
                <w:szCs w:val="22"/>
              </w:rPr>
              <w:t>.</w:t>
            </w:r>
          </w:p>
          <w:p w:rsidR="00AC01BD" w:rsidRDefault="00AC01BD">
            <w:pPr>
              <w:pStyle w:val="a4"/>
              <w:spacing w:line="270" w:lineRule="atLeast"/>
              <w:rPr>
                <w:rFonts w:ascii="Arial" w:hAnsi="Arial" w:cs="Arial"/>
                <w:color w:val="444444"/>
                <w:sz w:val="21"/>
                <w:szCs w:val="21"/>
              </w:rPr>
            </w:pPr>
            <w:r>
              <w:rPr>
                <w:rFonts w:ascii="Calibri" w:hAnsi="Calibri" w:cs="Arial"/>
                <w:color w:val="444444"/>
                <w:sz w:val="22"/>
                <w:szCs w:val="22"/>
              </w:rPr>
              <w:t xml:space="preserve">Сотрудник не согласился с решением нанимателя, и суды его поддержали. Госорган </w:t>
            </w:r>
            <w:hyperlink r:id="rId15" w:history="1">
              <w:r>
                <w:rPr>
                  <w:rStyle w:val="a3"/>
                  <w:color w:val="0000FF"/>
                </w:rPr>
                <w:t>обязан рассмотреть</w:t>
              </w:r>
            </w:hyperlink>
            <w:r>
              <w:rPr>
                <w:rFonts w:ascii="Calibri" w:hAnsi="Calibri" w:cs="Arial"/>
                <w:color w:val="444444"/>
                <w:sz w:val="22"/>
                <w:szCs w:val="22"/>
              </w:rPr>
              <w:t xml:space="preserve"> заявление служащего об увольнении. Если срок по заявлению истек, а взыскание не применили, надо оформить расторжение контракта по инициативе сотрудника. Откладывать это нельзя, иначе наниматель нарушит запрет принудительного труда. Другие основания для увольнения можно применять только в период службы.</w:t>
            </w:r>
          </w:p>
          <w:p w:rsidR="00AC01BD" w:rsidRDefault="00AC01BD">
            <w:pPr>
              <w:pStyle w:val="a4"/>
              <w:spacing w:line="270" w:lineRule="atLeast"/>
              <w:rPr>
                <w:rFonts w:ascii="Arial" w:hAnsi="Arial" w:cs="Arial"/>
                <w:color w:val="444444"/>
                <w:sz w:val="21"/>
                <w:szCs w:val="21"/>
              </w:rPr>
            </w:pPr>
            <w:hyperlink r:id="rId16" w:history="1">
              <w:r>
                <w:rPr>
                  <w:rStyle w:val="a3"/>
                </w:rPr>
                <w:t>Полный текст документа смотрите в СПС КонсультантПлюс</w:t>
              </w:r>
            </w:hyperlink>
          </w:p>
        </w:tc>
      </w:tr>
      <w:tr w:rsidR="00AC01BD" w:rsidTr="00AC01BD">
        <w:trPr>
          <w:jc w:val="center"/>
        </w:trPr>
        <w:tc>
          <w:tcPr>
            <w:tcW w:w="9007" w:type="dxa"/>
            <w:shd w:val="clear" w:color="auto" w:fill="FFFFFF"/>
            <w:tcMar>
              <w:top w:w="0" w:type="dxa"/>
              <w:left w:w="375" w:type="dxa"/>
              <w:bottom w:w="0" w:type="dxa"/>
              <w:right w:w="375" w:type="dxa"/>
            </w:tcMar>
            <w:vAlign w:val="center"/>
            <w:hideMark/>
          </w:tcPr>
          <w:p w:rsidR="00AC01BD" w:rsidRDefault="00AC01BD">
            <w:pPr>
              <w:jc w:val="center"/>
              <w:rPr>
                <w:rFonts w:eastAsia="Times New Roman"/>
              </w:rPr>
            </w:pPr>
            <w:r>
              <w:rPr>
                <w:rFonts w:eastAsia="Times New Roman"/>
              </w:rPr>
              <w:pict>
                <v:rect id="_x0000_i1025" style="width:467.75pt;height:.75pt" o:hralign="center" o:hrstd="t" o:hr="t" fillcolor="gray" stroked="f"/>
              </w:pict>
            </w:r>
          </w:p>
        </w:tc>
      </w:tr>
      <w:tr w:rsidR="00AC01BD" w:rsidTr="00AC01BD">
        <w:trPr>
          <w:jc w:val="center"/>
        </w:trPr>
        <w:tc>
          <w:tcPr>
            <w:tcW w:w="9007" w:type="dxa"/>
            <w:shd w:val="clear" w:color="auto" w:fill="FFFFFF"/>
            <w:tcMar>
              <w:top w:w="300" w:type="dxa"/>
              <w:left w:w="450" w:type="dxa"/>
              <w:bottom w:w="150" w:type="dxa"/>
              <w:right w:w="450" w:type="dxa"/>
            </w:tcMar>
            <w:vAlign w:val="center"/>
            <w:hideMark/>
          </w:tcPr>
          <w:p w:rsidR="00AC01BD" w:rsidRDefault="00AC01BD">
            <w:pPr>
              <w:rPr>
                <w:rFonts w:eastAsia="Times New Roman"/>
              </w:rPr>
            </w:pPr>
            <w:hyperlink r:id="rId17" w:tgtFrame="_blank" w:history="1">
              <w:r>
                <w:rPr>
                  <w:rStyle w:val="a3"/>
                  <w:rFonts w:eastAsia="Times New Roman"/>
                  <w:b/>
                  <w:bCs/>
                  <w:color w:val="555555"/>
                  <w:sz w:val="27"/>
                  <w:szCs w:val="27"/>
                  <w:u w:val="none"/>
                </w:rPr>
                <w:t xml:space="preserve">Планируется, что с 1 сентября 2021 года изменятся правила предоставления платных медуслуг </w:t>
              </w:r>
            </w:hyperlink>
          </w:p>
        </w:tc>
      </w:tr>
      <w:tr w:rsidR="00AC01BD" w:rsidTr="00AC01BD">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AC01BD">
              <w:tc>
                <w:tcPr>
                  <w:tcW w:w="7650" w:type="dxa"/>
                  <w:shd w:val="clear" w:color="auto" w:fill="EEEEEE"/>
                  <w:tcMar>
                    <w:top w:w="225" w:type="dxa"/>
                    <w:left w:w="225" w:type="dxa"/>
                    <w:bottom w:w="225" w:type="dxa"/>
                    <w:right w:w="225" w:type="dxa"/>
                  </w:tcMar>
                  <w:vAlign w:val="center"/>
                  <w:hideMark/>
                </w:tcPr>
                <w:p w:rsidR="00AC01BD" w:rsidRDefault="00AC01BD">
                  <w:pPr>
                    <w:rPr>
                      <w:rFonts w:eastAsia="Times New Roman"/>
                    </w:rPr>
                  </w:pPr>
                  <w:r>
                    <w:rPr>
                      <w:rFonts w:ascii="Arial" w:eastAsia="Times New Roman" w:hAnsi="Arial" w:cs="Arial"/>
                      <w:color w:val="444444"/>
                      <w:sz w:val="21"/>
                      <w:szCs w:val="21"/>
                    </w:rPr>
                    <w:t xml:space="preserve">Риски: по проекту медорганизации должны будут хранить договоры на платные медицинские услуги не менее трех лет, предоставлять возможность заключать договоры с пациентом дистанционно, а также рассматривать претензии в электронном виде, если это будет удобно пациенту. </w:t>
                  </w:r>
                </w:p>
              </w:tc>
            </w:tr>
          </w:tbl>
          <w:p w:rsidR="00AC01BD" w:rsidRDefault="00AC01BD">
            <w:pPr>
              <w:rPr>
                <w:rFonts w:eastAsia="Times New Roman"/>
                <w:sz w:val="20"/>
                <w:szCs w:val="20"/>
              </w:rPr>
            </w:pPr>
          </w:p>
        </w:tc>
      </w:tr>
      <w:tr w:rsidR="00AC01BD" w:rsidTr="00AC01BD">
        <w:trPr>
          <w:jc w:val="center"/>
        </w:trPr>
        <w:tc>
          <w:tcPr>
            <w:tcW w:w="9007" w:type="dxa"/>
            <w:shd w:val="clear" w:color="auto" w:fill="FFFFFF"/>
            <w:tcMar>
              <w:top w:w="300" w:type="dxa"/>
              <w:left w:w="450" w:type="dxa"/>
              <w:bottom w:w="300" w:type="dxa"/>
              <w:right w:w="450" w:type="dxa"/>
            </w:tcMar>
            <w:vAlign w:val="center"/>
            <w:hideMark/>
          </w:tcPr>
          <w:p w:rsidR="00AC01BD" w:rsidRDefault="00AC01BD">
            <w:pPr>
              <w:spacing w:line="270" w:lineRule="atLeast"/>
              <w:rPr>
                <w:rFonts w:ascii="Arial" w:eastAsia="Times New Roman" w:hAnsi="Arial" w:cs="Arial"/>
                <w:color w:val="444444"/>
                <w:sz w:val="21"/>
                <w:szCs w:val="21"/>
              </w:rPr>
            </w:pPr>
            <w:r>
              <w:rPr>
                <w:noProof/>
              </w:rPr>
              <w:drawing>
                <wp:anchor distT="0" distB="0" distL="142875" distR="142875" simplePos="0" relativeHeight="251660288" behindDoc="0" locked="0" layoutInCell="1" allowOverlap="0" wp14:anchorId="26D6C973" wp14:editId="18FAFC20">
                  <wp:simplePos x="0" y="0"/>
                  <wp:positionH relativeFrom="column">
                    <wp:align>left</wp:align>
                  </wp:positionH>
                  <wp:positionV relativeFrom="line">
                    <wp:posOffset>0</wp:posOffset>
                  </wp:positionV>
                  <wp:extent cx="1190625" cy="847725"/>
                  <wp:effectExtent l="0" t="0" r="9525" b="9525"/>
                  <wp:wrapSquare wrapText="bothSides"/>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0625" cy="84772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AC01BD" w:rsidRDefault="00AC01BD">
            <w:pPr>
              <w:pStyle w:val="a4"/>
              <w:spacing w:line="270" w:lineRule="atLeast"/>
              <w:rPr>
                <w:rFonts w:ascii="Arial" w:hAnsi="Arial" w:cs="Arial"/>
                <w:color w:val="444444"/>
                <w:sz w:val="21"/>
                <w:szCs w:val="21"/>
              </w:rPr>
            </w:pPr>
            <w:r>
              <w:rPr>
                <w:rFonts w:ascii="Calibri" w:hAnsi="Calibri" w:cs="Arial"/>
                <w:color w:val="444444"/>
                <w:sz w:val="22"/>
                <w:szCs w:val="22"/>
              </w:rPr>
              <w:t>Роспотребнадзор подготовил </w:t>
            </w:r>
            <w:hyperlink r:id="rId19" w:history="1">
              <w:r>
                <w:rPr>
                  <w:rStyle w:val="a3"/>
                  <w:color w:val="0000FF"/>
                </w:rPr>
                <w:t>Проект</w:t>
              </w:r>
            </w:hyperlink>
            <w:r>
              <w:rPr>
                <w:rFonts w:ascii="Calibri" w:hAnsi="Calibri" w:cs="Arial"/>
                <w:color w:val="444444"/>
                <w:sz w:val="22"/>
                <w:szCs w:val="22"/>
              </w:rPr>
              <w:t xml:space="preserve"> Постановления Правительства РФ «Об утверждении правил предоставления медицинскими организациями платных медицинских услуг», в котором содержатся новые требования к составлению договоров на платные услуги, срокам их хранения, условиям взаимодействия с пациентом в случае возникновения претензии.</w:t>
            </w:r>
          </w:p>
          <w:p w:rsidR="00AC01BD" w:rsidRDefault="00AC01BD">
            <w:pPr>
              <w:pStyle w:val="a4"/>
              <w:spacing w:line="270" w:lineRule="atLeast"/>
              <w:rPr>
                <w:rFonts w:ascii="Arial" w:hAnsi="Arial" w:cs="Arial"/>
                <w:color w:val="444444"/>
                <w:sz w:val="21"/>
                <w:szCs w:val="21"/>
              </w:rPr>
            </w:pPr>
            <w:r>
              <w:rPr>
                <w:rFonts w:ascii="Calibri" w:hAnsi="Calibri" w:cs="Arial"/>
                <w:color w:val="444444"/>
                <w:sz w:val="22"/>
                <w:szCs w:val="22"/>
              </w:rPr>
              <w:t>Документ разработан в рамках «регуляторной гильотины». За основу взяты правила 2012 года, но при этом учтены новые технические возможности, так как стали более доступны дистанционные формы коммуникации потребителей и исполнителей.</w:t>
            </w:r>
          </w:p>
          <w:p w:rsidR="00AC01BD" w:rsidRDefault="00AC01BD">
            <w:pPr>
              <w:pStyle w:val="a4"/>
              <w:spacing w:line="270" w:lineRule="atLeast"/>
              <w:rPr>
                <w:rFonts w:ascii="Arial" w:hAnsi="Arial" w:cs="Arial"/>
                <w:color w:val="444444"/>
                <w:sz w:val="21"/>
                <w:szCs w:val="21"/>
              </w:rPr>
            </w:pPr>
            <w:r>
              <w:rPr>
                <w:rFonts w:ascii="Calibri" w:hAnsi="Calibri" w:cs="Arial"/>
                <w:color w:val="444444"/>
                <w:sz w:val="22"/>
                <w:szCs w:val="22"/>
              </w:rPr>
              <w:t xml:space="preserve">Исходя из этого, в </w:t>
            </w:r>
            <w:hyperlink r:id="rId20" w:history="1">
              <w:r>
                <w:rPr>
                  <w:rStyle w:val="a3"/>
                  <w:color w:val="0000FF"/>
                </w:rPr>
                <w:t>Проекте</w:t>
              </w:r>
            </w:hyperlink>
            <w:r>
              <w:rPr>
                <w:rFonts w:ascii="Calibri" w:hAnsi="Calibri" w:cs="Arial"/>
                <w:color w:val="444444"/>
                <w:sz w:val="22"/>
                <w:szCs w:val="22"/>
              </w:rPr>
              <w:t xml:space="preserve"> целый раздел посвящен особенностям заключения договора на оказание платных медицинских услуг дистанционным способом. В частности, появилось понятие «электронная книга отзывов и предложений».</w:t>
            </w:r>
          </w:p>
          <w:p w:rsidR="00AC01BD" w:rsidRDefault="00AC01BD">
            <w:pPr>
              <w:pStyle w:val="a4"/>
              <w:spacing w:line="270" w:lineRule="atLeast"/>
              <w:rPr>
                <w:rFonts w:ascii="Arial" w:hAnsi="Arial" w:cs="Arial"/>
                <w:color w:val="444444"/>
                <w:sz w:val="21"/>
                <w:szCs w:val="21"/>
              </w:rPr>
            </w:pPr>
            <w:r>
              <w:rPr>
                <w:rFonts w:ascii="Calibri" w:hAnsi="Calibri" w:cs="Arial"/>
                <w:color w:val="444444"/>
                <w:sz w:val="22"/>
                <w:szCs w:val="22"/>
              </w:rPr>
              <w:t>В случае поступления претензии потребителя исполнитель направляет ему ответ в отношении заявленных требований в сроки, установленные законом «О защите прав потребителей», а при их отсутствии – в десятидневный срок со дня получения претензии. Ответ направляется по адресу электронной почты, указанному потребителем в претензии, а при его отсутствии – заказным письмом с уведомлением.</w:t>
            </w:r>
          </w:p>
          <w:p w:rsidR="00AC01BD" w:rsidRDefault="00AC01BD">
            <w:pPr>
              <w:pStyle w:val="a4"/>
              <w:spacing w:line="270" w:lineRule="atLeast"/>
              <w:rPr>
                <w:rFonts w:ascii="Arial" w:hAnsi="Arial" w:cs="Arial"/>
                <w:color w:val="444444"/>
                <w:sz w:val="21"/>
                <w:szCs w:val="21"/>
              </w:rPr>
            </w:pPr>
            <w:r>
              <w:rPr>
                <w:rFonts w:ascii="Calibri" w:hAnsi="Calibri" w:cs="Arial"/>
                <w:color w:val="444444"/>
                <w:sz w:val="22"/>
                <w:szCs w:val="22"/>
              </w:rPr>
              <w:t xml:space="preserve">Предусматривается, что </w:t>
            </w:r>
            <w:hyperlink r:id="rId21" w:history="1">
              <w:r>
                <w:rPr>
                  <w:rStyle w:val="a3"/>
                  <w:color w:val="0000FF"/>
                </w:rPr>
                <w:t>Постановление</w:t>
              </w:r>
            </w:hyperlink>
            <w:r>
              <w:rPr>
                <w:rFonts w:ascii="Calibri" w:hAnsi="Calibri" w:cs="Arial"/>
                <w:color w:val="444444"/>
                <w:sz w:val="22"/>
                <w:szCs w:val="22"/>
              </w:rPr>
              <w:t xml:space="preserve"> вступит в силу с 1 сентября 2021 года и будет действовать до 1 января 2027 года.</w:t>
            </w:r>
          </w:p>
        </w:tc>
      </w:tr>
      <w:tr w:rsidR="00AC01BD" w:rsidTr="00AC01BD">
        <w:trPr>
          <w:jc w:val="center"/>
        </w:trPr>
        <w:tc>
          <w:tcPr>
            <w:tcW w:w="9007" w:type="dxa"/>
            <w:shd w:val="clear" w:color="auto" w:fill="FFFFFF"/>
            <w:tcMar>
              <w:top w:w="0" w:type="dxa"/>
              <w:left w:w="375" w:type="dxa"/>
              <w:bottom w:w="0" w:type="dxa"/>
              <w:right w:w="375" w:type="dxa"/>
            </w:tcMar>
            <w:vAlign w:val="center"/>
            <w:hideMark/>
          </w:tcPr>
          <w:p w:rsidR="00AC01BD" w:rsidRDefault="00AC01BD">
            <w:pPr>
              <w:jc w:val="center"/>
              <w:rPr>
                <w:rFonts w:eastAsia="Times New Roman"/>
              </w:rPr>
            </w:pPr>
            <w:r>
              <w:rPr>
                <w:rFonts w:eastAsia="Times New Roman"/>
              </w:rPr>
              <w:pict>
                <v:rect id="_x0000_i1026" style="width:467.75pt;height:.75pt" o:hralign="center" o:hrstd="t" o:hr="t" fillcolor="gray" stroked="f"/>
              </w:pict>
            </w:r>
          </w:p>
        </w:tc>
      </w:tr>
      <w:tr w:rsidR="00AC01BD" w:rsidTr="00AC01BD">
        <w:trPr>
          <w:jc w:val="center"/>
        </w:trPr>
        <w:tc>
          <w:tcPr>
            <w:tcW w:w="9007" w:type="dxa"/>
            <w:shd w:val="clear" w:color="auto" w:fill="D0D1D3"/>
            <w:tcMar>
              <w:top w:w="300" w:type="dxa"/>
              <w:left w:w="300" w:type="dxa"/>
              <w:bottom w:w="300" w:type="dxa"/>
              <w:right w:w="300" w:type="dxa"/>
            </w:tcMar>
            <w:vAlign w:val="center"/>
            <w:hideMark/>
          </w:tcPr>
          <w:p w:rsidR="00AC01BD" w:rsidRDefault="00AC01BD">
            <w:pPr>
              <w:rPr>
                <w:rFonts w:ascii="Arial" w:eastAsia="Times New Roman" w:hAnsi="Arial" w:cs="Arial"/>
                <w:sz w:val="27"/>
                <w:szCs w:val="27"/>
              </w:rPr>
            </w:pPr>
            <w:r>
              <w:rPr>
                <w:rFonts w:ascii="Arial" w:eastAsia="Times New Roman" w:hAnsi="Arial" w:cs="Arial"/>
                <w:sz w:val="27"/>
                <w:szCs w:val="27"/>
              </w:rPr>
              <w:t xml:space="preserve">ВАЖНО ЗНАТЬ БУХГАЛТЕРУ </w:t>
            </w:r>
          </w:p>
        </w:tc>
      </w:tr>
      <w:tr w:rsidR="00AC01BD" w:rsidTr="00AC01BD">
        <w:trPr>
          <w:jc w:val="center"/>
        </w:trPr>
        <w:tc>
          <w:tcPr>
            <w:tcW w:w="9007" w:type="dxa"/>
            <w:shd w:val="clear" w:color="auto" w:fill="FFFFFF"/>
            <w:tcMar>
              <w:top w:w="300" w:type="dxa"/>
              <w:left w:w="450" w:type="dxa"/>
              <w:bottom w:w="150" w:type="dxa"/>
              <w:right w:w="450" w:type="dxa"/>
            </w:tcMar>
            <w:vAlign w:val="center"/>
            <w:hideMark/>
          </w:tcPr>
          <w:p w:rsidR="00AC01BD" w:rsidRDefault="00AC01BD">
            <w:pPr>
              <w:rPr>
                <w:rFonts w:eastAsia="Times New Roman"/>
              </w:rPr>
            </w:pPr>
            <w:hyperlink r:id="rId22" w:tgtFrame="_blank" w:history="1">
              <w:r>
                <w:rPr>
                  <w:rStyle w:val="a3"/>
                  <w:rFonts w:eastAsia="Times New Roman"/>
                  <w:b/>
                  <w:bCs/>
                  <w:color w:val="555555"/>
                  <w:sz w:val="27"/>
                  <w:szCs w:val="27"/>
                  <w:u w:val="none"/>
                </w:rPr>
                <w:t xml:space="preserve">Новые электронные формы первичных документов и регистров для организаций госсектора Минфин планирует утвердить отдельно </w:t>
              </w:r>
            </w:hyperlink>
          </w:p>
        </w:tc>
      </w:tr>
      <w:tr w:rsidR="00AC01BD" w:rsidTr="00AC01BD">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AC01BD">
              <w:tc>
                <w:tcPr>
                  <w:tcW w:w="7650" w:type="dxa"/>
                  <w:shd w:val="clear" w:color="auto" w:fill="EEEEEE"/>
                  <w:tcMar>
                    <w:top w:w="225" w:type="dxa"/>
                    <w:left w:w="225" w:type="dxa"/>
                    <w:bottom w:w="225" w:type="dxa"/>
                    <w:right w:w="225" w:type="dxa"/>
                  </w:tcMar>
                  <w:vAlign w:val="center"/>
                  <w:hideMark/>
                </w:tcPr>
                <w:p w:rsidR="00AC01BD" w:rsidRDefault="00AC01BD">
                  <w:pPr>
                    <w:rPr>
                      <w:rFonts w:eastAsia="Times New Roman"/>
                    </w:rPr>
                  </w:pPr>
                  <w:r>
                    <w:rPr>
                      <w:rFonts w:ascii="Arial" w:eastAsia="Times New Roman" w:hAnsi="Arial" w:cs="Arial"/>
                      <w:color w:val="444444"/>
                      <w:sz w:val="21"/>
                      <w:szCs w:val="21"/>
                    </w:rPr>
                    <w:t xml:space="preserve">Возможности: ознакомиться с новым перечнем унифицированных форм электронных первичных учетных документов, которые необходимо будет применять организациями бюджетной сферы в случае утверждения проекта. </w:t>
                  </w:r>
                </w:p>
              </w:tc>
            </w:tr>
          </w:tbl>
          <w:p w:rsidR="00AC01BD" w:rsidRDefault="00AC01BD">
            <w:pPr>
              <w:rPr>
                <w:rFonts w:eastAsia="Times New Roman"/>
                <w:sz w:val="20"/>
                <w:szCs w:val="20"/>
              </w:rPr>
            </w:pPr>
          </w:p>
        </w:tc>
      </w:tr>
      <w:tr w:rsidR="00AC01BD" w:rsidTr="00AC01BD">
        <w:trPr>
          <w:jc w:val="center"/>
        </w:trPr>
        <w:tc>
          <w:tcPr>
            <w:tcW w:w="9007" w:type="dxa"/>
            <w:shd w:val="clear" w:color="auto" w:fill="FFFFFF"/>
            <w:tcMar>
              <w:top w:w="300" w:type="dxa"/>
              <w:left w:w="450" w:type="dxa"/>
              <w:bottom w:w="300" w:type="dxa"/>
              <w:right w:w="450" w:type="dxa"/>
            </w:tcMar>
            <w:vAlign w:val="center"/>
            <w:hideMark/>
          </w:tcPr>
          <w:p w:rsidR="00AC01BD" w:rsidRDefault="00AC01BD">
            <w:pPr>
              <w:spacing w:line="270" w:lineRule="atLeast"/>
              <w:rPr>
                <w:rFonts w:ascii="Arial" w:eastAsia="Times New Roman" w:hAnsi="Arial" w:cs="Arial"/>
                <w:color w:val="444444"/>
                <w:sz w:val="21"/>
                <w:szCs w:val="21"/>
              </w:rPr>
            </w:pPr>
            <w:r>
              <w:rPr>
                <w:noProof/>
              </w:rPr>
              <w:drawing>
                <wp:anchor distT="0" distB="0" distL="142875" distR="142875" simplePos="0" relativeHeight="251661312" behindDoc="0" locked="0" layoutInCell="1" allowOverlap="0" wp14:anchorId="1AAFF27D" wp14:editId="6AF668C5">
                  <wp:simplePos x="0" y="0"/>
                  <wp:positionH relativeFrom="column">
                    <wp:align>left</wp:align>
                  </wp:positionH>
                  <wp:positionV relativeFrom="line">
                    <wp:posOffset>0</wp:posOffset>
                  </wp:positionV>
                  <wp:extent cx="1190625" cy="790575"/>
                  <wp:effectExtent l="0" t="0" r="9525" b="9525"/>
                  <wp:wrapSquare wrapText="bothSides"/>
                  <wp:docPr id="4" name="Рисунок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AC01BD" w:rsidRDefault="00AC01BD">
            <w:pPr>
              <w:pStyle w:val="a4"/>
              <w:spacing w:line="270" w:lineRule="atLeast"/>
              <w:rPr>
                <w:rFonts w:ascii="Arial" w:hAnsi="Arial" w:cs="Arial"/>
                <w:color w:val="444444"/>
                <w:sz w:val="21"/>
                <w:szCs w:val="21"/>
              </w:rPr>
            </w:pPr>
            <w:r>
              <w:rPr>
                <w:rFonts w:ascii="Calibri" w:hAnsi="Calibri" w:cs="Arial"/>
                <w:color w:val="444444"/>
                <w:sz w:val="22"/>
                <w:szCs w:val="22"/>
              </w:rPr>
              <w:t>Опубликован новый </w:t>
            </w:r>
            <w:hyperlink r:id="rId24" w:history="1">
              <w:r>
                <w:rPr>
                  <w:rStyle w:val="a3"/>
                  <w:color w:val="0000FF"/>
                </w:rPr>
                <w:t>Проект</w:t>
              </w:r>
            </w:hyperlink>
            <w:r>
              <w:rPr>
                <w:rFonts w:ascii="Calibri" w:hAnsi="Calibri" w:cs="Arial"/>
                <w:color w:val="444444"/>
                <w:sz w:val="22"/>
                <w:szCs w:val="22"/>
              </w:rPr>
              <w:t xml:space="preserve"> Приказа Минфина России, в котором предусмотрены только дополнительные формы. Действующий </w:t>
            </w:r>
            <w:hyperlink r:id="rId25" w:history="1">
              <w:r>
                <w:rPr>
                  <w:rStyle w:val="a3"/>
                  <w:color w:val="0000FF"/>
                </w:rPr>
                <w:t>Приказ N 52н</w:t>
              </w:r>
            </w:hyperlink>
            <w:r>
              <w:rPr>
                <w:rFonts w:ascii="Calibri" w:hAnsi="Calibri" w:cs="Arial"/>
                <w:color w:val="444444"/>
                <w:sz w:val="22"/>
                <w:szCs w:val="22"/>
              </w:rPr>
              <w:t xml:space="preserve"> о первичке и регистрах решили не отменять.</w:t>
            </w:r>
          </w:p>
          <w:p w:rsidR="00AC01BD" w:rsidRDefault="00AC01BD">
            <w:pPr>
              <w:pStyle w:val="a4"/>
              <w:spacing w:line="270" w:lineRule="atLeast"/>
              <w:rPr>
                <w:rFonts w:ascii="Arial" w:hAnsi="Arial" w:cs="Arial"/>
                <w:color w:val="444444"/>
                <w:sz w:val="21"/>
                <w:szCs w:val="21"/>
              </w:rPr>
            </w:pPr>
            <w:r>
              <w:rPr>
                <w:rFonts w:ascii="Calibri" w:hAnsi="Calibri" w:cs="Arial"/>
                <w:color w:val="444444"/>
                <w:sz w:val="22"/>
                <w:szCs w:val="22"/>
              </w:rPr>
              <w:t>Новые электронные формы </w:t>
            </w:r>
            <w:hyperlink r:id="rId26" w:history="1">
              <w:r>
                <w:rPr>
                  <w:rStyle w:val="a3"/>
                  <w:color w:val="0000FF"/>
                </w:rPr>
                <w:t>станут обязательными</w:t>
              </w:r>
            </w:hyperlink>
            <w:r>
              <w:rPr>
                <w:rFonts w:ascii="Calibri" w:hAnsi="Calibri" w:cs="Arial"/>
                <w:color w:val="444444"/>
                <w:sz w:val="22"/>
                <w:szCs w:val="22"/>
              </w:rPr>
              <w:t xml:space="preserve"> для всех учреждений. Перечень </w:t>
            </w:r>
            <w:r>
              <w:rPr>
                <w:rFonts w:ascii="Calibri" w:hAnsi="Calibri" w:cs="Arial"/>
                <w:color w:val="444444"/>
                <w:sz w:val="22"/>
                <w:szCs w:val="22"/>
              </w:rPr>
              <w:lastRenderedPageBreak/>
              <w:t>этих документов сокращен.</w:t>
            </w:r>
          </w:p>
          <w:p w:rsidR="00AC01BD" w:rsidRDefault="00AC01BD">
            <w:pPr>
              <w:pStyle w:val="a4"/>
              <w:spacing w:line="270" w:lineRule="atLeast"/>
              <w:rPr>
                <w:rFonts w:ascii="Arial" w:hAnsi="Arial" w:cs="Arial"/>
                <w:color w:val="444444"/>
                <w:sz w:val="21"/>
                <w:szCs w:val="21"/>
              </w:rPr>
            </w:pPr>
            <w:r>
              <w:rPr>
                <w:rFonts w:ascii="Calibri" w:hAnsi="Calibri" w:cs="Arial"/>
                <w:color w:val="444444"/>
                <w:sz w:val="22"/>
                <w:szCs w:val="22"/>
              </w:rPr>
              <w:t xml:space="preserve">Планируют </w:t>
            </w:r>
            <w:hyperlink r:id="rId27" w:history="1">
              <w:r>
                <w:rPr>
                  <w:rStyle w:val="a3"/>
                  <w:color w:val="0000FF"/>
                </w:rPr>
                <w:t>ввести</w:t>
              </w:r>
            </w:hyperlink>
            <w:r>
              <w:rPr>
                <w:rFonts w:ascii="Calibri" w:hAnsi="Calibri" w:cs="Arial"/>
                <w:color w:val="444444"/>
                <w:sz w:val="22"/>
                <w:szCs w:val="22"/>
              </w:rPr>
              <w:t> такие формы электронной первички:</w:t>
            </w:r>
          </w:p>
          <w:p w:rsidR="00AC01BD" w:rsidRDefault="00AC01BD">
            <w:pPr>
              <w:pStyle w:val="a4"/>
              <w:spacing w:line="270" w:lineRule="atLeast"/>
              <w:rPr>
                <w:rFonts w:ascii="Arial" w:hAnsi="Arial" w:cs="Arial"/>
                <w:color w:val="444444"/>
                <w:sz w:val="21"/>
                <w:szCs w:val="21"/>
              </w:rPr>
            </w:pPr>
            <w:r>
              <w:rPr>
                <w:rFonts w:ascii="Calibri" w:hAnsi="Calibri" w:cs="Arial"/>
                <w:color w:val="444444"/>
                <w:sz w:val="22"/>
                <w:szCs w:val="22"/>
              </w:rPr>
              <w:t>0510433 – акт о консервации (расконсервации) объекта основных средств;</w:t>
            </w:r>
          </w:p>
          <w:p w:rsidR="00AC01BD" w:rsidRDefault="00AC01BD">
            <w:pPr>
              <w:pStyle w:val="a4"/>
              <w:spacing w:line="270" w:lineRule="atLeast"/>
              <w:rPr>
                <w:rFonts w:ascii="Arial" w:hAnsi="Arial" w:cs="Arial"/>
                <w:color w:val="444444"/>
                <w:sz w:val="21"/>
                <w:szCs w:val="21"/>
              </w:rPr>
            </w:pPr>
            <w:r>
              <w:rPr>
                <w:rFonts w:ascii="Calibri" w:hAnsi="Calibri" w:cs="Arial"/>
                <w:color w:val="444444"/>
                <w:sz w:val="22"/>
                <w:szCs w:val="22"/>
              </w:rPr>
              <w:t>0510434 – акт приема-передачи объектов, полученных в личное пользование;</w:t>
            </w:r>
          </w:p>
          <w:p w:rsidR="00AC01BD" w:rsidRDefault="00AC01BD">
            <w:pPr>
              <w:pStyle w:val="a4"/>
              <w:spacing w:line="270" w:lineRule="atLeast"/>
              <w:rPr>
                <w:rFonts w:ascii="Arial" w:hAnsi="Arial" w:cs="Arial"/>
                <w:color w:val="444444"/>
                <w:sz w:val="21"/>
                <w:szCs w:val="21"/>
              </w:rPr>
            </w:pPr>
            <w:r>
              <w:rPr>
                <w:rFonts w:ascii="Calibri" w:hAnsi="Calibri" w:cs="Arial"/>
                <w:color w:val="444444"/>
                <w:sz w:val="22"/>
                <w:szCs w:val="22"/>
              </w:rPr>
              <w:t>0510436 – акт о признании безнадежной к взысканию задолженности по доходам;</w:t>
            </w:r>
          </w:p>
          <w:p w:rsidR="00AC01BD" w:rsidRDefault="00AC01BD">
            <w:pPr>
              <w:pStyle w:val="a4"/>
              <w:spacing w:line="270" w:lineRule="atLeast"/>
              <w:rPr>
                <w:rFonts w:ascii="Arial" w:hAnsi="Arial" w:cs="Arial"/>
                <w:color w:val="444444"/>
                <w:sz w:val="21"/>
                <w:szCs w:val="21"/>
              </w:rPr>
            </w:pPr>
            <w:r>
              <w:rPr>
                <w:rFonts w:ascii="Calibri" w:hAnsi="Calibri" w:cs="Arial"/>
                <w:color w:val="444444"/>
                <w:sz w:val="22"/>
                <w:szCs w:val="22"/>
              </w:rPr>
              <w:t>0510437 – решение о списании задолженности, не востребованной кредиторами, с учета по счету N _____;</w:t>
            </w:r>
          </w:p>
          <w:p w:rsidR="00AC01BD" w:rsidRDefault="00AC01BD">
            <w:pPr>
              <w:pStyle w:val="a4"/>
              <w:spacing w:line="270" w:lineRule="atLeast"/>
              <w:rPr>
                <w:rFonts w:ascii="Arial" w:hAnsi="Arial" w:cs="Arial"/>
                <w:color w:val="444444"/>
                <w:sz w:val="21"/>
                <w:szCs w:val="21"/>
              </w:rPr>
            </w:pPr>
            <w:r>
              <w:rPr>
                <w:rFonts w:ascii="Calibri" w:hAnsi="Calibri" w:cs="Arial"/>
                <w:color w:val="444444"/>
                <w:sz w:val="22"/>
                <w:szCs w:val="22"/>
              </w:rPr>
              <w:t>0510439 – решение о проведении инвентаризации;</w:t>
            </w:r>
          </w:p>
          <w:p w:rsidR="00AC01BD" w:rsidRDefault="00AC01BD">
            <w:pPr>
              <w:pStyle w:val="a4"/>
              <w:spacing w:line="270" w:lineRule="atLeast"/>
              <w:rPr>
                <w:rFonts w:ascii="Arial" w:hAnsi="Arial" w:cs="Arial"/>
                <w:color w:val="444444"/>
                <w:sz w:val="21"/>
                <w:szCs w:val="21"/>
              </w:rPr>
            </w:pPr>
            <w:r>
              <w:rPr>
                <w:rFonts w:ascii="Calibri" w:hAnsi="Calibri" w:cs="Arial"/>
                <w:color w:val="444444"/>
                <w:sz w:val="22"/>
                <w:szCs w:val="22"/>
              </w:rPr>
              <w:t>0510440 – решение комиссии по поступлению и выбытию нефинансовых активов о прекращении признания активом объекта нефинансового актива;</w:t>
            </w:r>
          </w:p>
          <w:p w:rsidR="00AC01BD" w:rsidRDefault="00AC01BD">
            <w:pPr>
              <w:pStyle w:val="a4"/>
              <w:spacing w:line="270" w:lineRule="atLeast"/>
              <w:rPr>
                <w:rFonts w:ascii="Arial" w:hAnsi="Arial" w:cs="Arial"/>
                <w:color w:val="444444"/>
                <w:sz w:val="21"/>
                <w:szCs w:val="21"/>
              </w:rPr>
            </w:pPr>
            <w:r>
              <w:rPr>
                <w:rFonts w:ascii="Calibri" w:hAnsi="Calibri" w:cs="Arial"/>
                <w:color w:val="444444"/>
                <w:sz w:val="22"/>
                <w:szCs w:val="22"/>
              </w:rPr>
              <w:t>0510442 – решение комиссии по поступлению и выбытию активов об оценке стоимости имущества, отчуждаемого не в пользу организаций бюджетной сферы;</w:t>
            </w:r>
          </w:p>
          <w:p w:rsidR="00AC01BD" w:rsidRDefault="00AC01BD">
            <w:pPr>
              <w:pStyle w:val="a4"/>
              <w:spacing w:line="270" w:lineRule="atLeast"/>
              <w:rPr>
                <w:rFonts w:ascii="Arial" w:hAnsi="Arial" w:cs="Arial"/>
                <w:color w:val="444444"/>
                <w:sz w:val="21"/>
                <w:szCs w:val="21"/>
              </w:rPr>
            </w:pPr>
            <w:r>
              <w:rPr>
                <w:rFonts w:ascii="Calibri" w:hAnsi="Calibri" w:cs="Arial"/>
                <w:color w:val="444444"/>
                <w:sz w:val="22"/>
                <w:szCs w:val="22"/>
              </w:rPr>
              <w:t>0510445 – решение о признании (восстановлении) сомнительной задолженности по доходам;</w:t>
            </w:r>
          </w:p>
          <w:p w:rsidR="00AC01BD" w:rsidRDefault="00AC01BD">
            <w:pPr>
              <w:pStyle w:val="a4"/>
              <w:spacing w:line="270" w:lineRule="atLeast"/>
              <w:rPr>
                <w:rFonts w:ascii="Arial" w:hAnsi="Arial" w:cs="Arial"/>
                <w:color w:val="444444"/>
                <w:sz w:val="21"/>
                <w:szCs w:val="21"/>
              </w:rPr>
            </w:pPr>
            <w:r>
              <w:rPr>
                <w:rFonts w:ascii="Calibri" w:hAnsi="Calibri" w:cs="Arial"/>
                <w:color w:val="444444"/>
                <w:sz w:val="22"/>
                <w:szCs w:val="22"/>
              </w:rPr>
              <w:t>0510446 – решение о восстановлении кредиторской задолженности;</w:t>
            </w:r>
          </w:p>
          <w:p w:rsidR="00AC01BD" w:rsidRDefault="00AC01BD">
            <w:pPr>
              <w:pStyle w:val="a4"/>
              <w:spacing w:line="270" w:lineRule="atLeast"/>
              <w:rPr>
                <w:rFonts w:ascii="Arial" w:hAnsi="Arial" w:cs="Arial"/>
                <w:color w:val="444444"/>
                <w:sz w:val="21"/>
                <w:szCs w:val="21"/>
              </w:rPr>
            </w:pPr>
            <w:r>
              <w:rPr>
                <w:rFonts w:ascii="Calibri" w:hAnsi="Calibri" w:cs="Arial"/>
                <w:color w:val="444444"/>
                <w:sz w:val="22"/>
                <w:szCs w:val="22"/>
              </w:rPr>
              <w:t>0510836 – акт о результатах инвентаризации наличных денежных средств;</w:t>
            </w:r>
          </w:p>
          <w:p w:rsidR="00AC01BD" w:rsidRDefault="00AC01BD">
            <w:pPr>
              <w:pStyle w:val="a4"/>
              <w:spacing w:line="270" w:lineRule="atLeast"/>
              <w:rPr>
                <w:rFonts w:ascii="Arial" w:hAnsi="Arial" w:cs="Arial"/>
                <w:color w:val="444444"/>
                <w:sz w:val="21"/>
                <w:szCs w:val="21"/>
              </w:rPr>
            </w:pPr>
            <w:r>
              <w:rPr>
                <w:rFonts w:ascii="Calibri" w:hAnsi="Calibri" w:cs="Arial"/>
                <w:color w:val="444444"/>
                <w:sz w:val="22"/>
                <w:szCs w:val="22"/>
              </w:rPr>
              <w:t>0510838 – ведомость выпадающих доходов.</w:t>
            </w:r>
          </w:p>
          <w:p w:rsidR="00AC01BD" w:rsidRDefault="00AC01BD">
            <w:pPr>
              <w:pStyle w:val="a4"/>
              <w:spacing w:line="270" w:lineRule="atLeast"/>
              <w:rPr>
                <w:rFonts w:ascii="Arial" w:hAnsi="Arial" w:cs="Arial"/>
                <w:color w:val="444444"/>
                <w:sz w:val="21"/>
                <w:szCs w:val="21"/>
              </w:rPr>
            </w:pPr>
            <w:r>
              <w:rPr>
                <w:rFonts w:ascii="Calibri" w:hAnsi="Calibri" w:cs="Arial"/>
                <w:color w:val="444444"/>
                <w:sz w:val="22"/>
                <w:szCs w:val="22"/>
              </w:rPr>
              <w:t>Для администраторов доходов бюджета также утвердят две ведомости: начисления доходов (ф. 0510839) и группового начисления доходов (ф. 0510431).</w:t>
            </w:r>
          </w:p>
          <w:p w:rsidR="00AC01BD" w:rsidRDefault="00AC01BD">
            <w:pPr>
              <w:pStyle w:val="a4"/>
              <w:spacing w:line="270" w:lineRule="atLeast"/>
              <w:rPr>
                <w:rFonts w:ascii="Arial" w:hAnsi="Arial" w:cs="Arial"/>
                <w:color w:val="444444"/>
                <w:sz w:val="21"/>
                <w:szCs w:val="21"/>
              </w:rPr>
            </w:pPr>
            <w:r>
              <w:rPr>
                <w:rFonts w:ascii="Calibri" w:hAnsi="Calibri" w:cs="Arial"/>
                <w:color w:val="444444"/>
                <w:sz w:val="22"/>
                <w:szCs w:val="22"/>
              </w:rPr>
              <w:t>В Проекте </w:t>
            </w:r>
            <w:hyperlink r:id="rId28" w:history="1">
              <w:r>
                <w:rPr>
                  <w:rStyle w:val="a3"/>
                  <w:color w:val="0000FF"/>
                </w:rPr>
                <w:t>предусмотрен</w:t>
              </w:r>
            </w:hyperlink>
            <w:r>
              <w:rPr>
                <w:rFonts w:ascii="Calibri" w:hAnsi="Calibri" w:cs="Arial"/>
                <w:color w:val="444444"/>
                <w:sz w:val="22"/>
                <w:szCs w:val="22"/>
              </w:rPr>
              <w:t> всего один электронный регистр: журнал операций по забалансовому счету (ф. 0509213).</w:t>
            </w:r>
          </w:p>
          <w:p w:rsidR="00AC01BD" w:rsidRDefault="00AC01BD">
            <w:pPr>
              <w:pStyle w:val="a4"/>
              <w:spacing w:line="270" w:lineRule="atLeast"/>
              <w:rPr>
                <w:rFonts w:ascii="Arial" w:hAnsi="Arial" w:cs="Arial"/>
                <w:color w:val="444444"/>
                <w:sz w:val="21"/>
                <w:szCs w:val="21"/>
              </w:rPr>
            </w:pPr>
            <w:r>
              <w:rPr>
                <w:rFonts w:ascii="Calibri" w:hAnsi="Calibri" w:cs="Arial"/>
                <w:color w:val="444444"/>
                <w:sz w:val="22"/>
                <w:szCs w:val="22"/>
              </w:rPr>
              <w:t>Внедрить новшества </w:t>
            </w:r>
            <w:hyperlink r:id="rId29" w:history="1">
              <w:r>
                <w:rPr>
                  <w:rStyle w:val="a3"/>
                  <w:color w:val="0000FF"/>
                </w:rPr>
                <w:t>надо будет</w:t>
              </w:r>
            </w:hyperlink>
            <w:r>
              <w:rPr>
                <w:rFonts w:ascii="Calibri" w:hAnsi="Calibri" w:cs="Arial"/>
                <w:color w:val="444444"/>
                <w:sz w:val="22"/>
                <w:szCs w:val="22"/>
              </w:rPr>
              <w:t> по мере организационно-технической готовности учреждения, но не позднее 1 января 2022 года. Дату перехода фиксируют в учетной политике.</w:t>
            </w:r>
          </w:p>
          <w:p w:rsidR="00AC01BD" w:rsidRDefault="00AC01BD">
            <w:pPr>
              <w:pStyle w:val="a4"/>
              <w:spacing w:line="270" w:lineRule="atLeast"/>
              <w:rPr>
                <w:rFonts w:ascii="Arial" w:hAnsi="Arial" w:cs="Arial"/>
                <w:color w:val="444444"/>
                <w:sz w:val="21"/>
                <w:szCs w:val="21"/>
              </w:rPr>
            </w:pPr>
            <w:r>
              <w:rPr>
                <w:rFonts w:ascii="Calibri" w:hAnsi="Calibri" w:cs="Arial"/>
                <w:color w:val="444444"/>
                <w:sz w:val="22"/>
                <w:szCs w:val="22"/>
              </w:rPr>
              <w:t xml:space="preserve">Согласно </w:t>
            </w:r>
            <w:hyperlink r:id="rId30" w:history="1">
              <w:r>
                <w:rPr>
                  <w:rStyle w:val="a3"/>
                  <w:color w:val="0000FF"/>
                </w:rPr>
                <w:t>Проекту</w:t>
              </w:r>
            </w:hyperlink>
            <w:r>
              <w:rPr>
                <w:rFonts w:ascii="Calibri" w:hAnsi="Calibri" w:cs="Arial"/>
                <w:color w:val="444444"/>
                <w:sz w:val="22"/>
                <w:szCs w:val="22"/>
              </w:rPr>
              <w:t xml:space="preserve"> приказ распространяется на государственные (муниципальные) унитарные предприятия при ведении бюджетного учета, при осуществлении полномочий заказчиков по заключению и исполнению контрактов от лица организаций бюджетной сферы, являющихся государственными (муниципальными) заказчиками, а также «Росатом» и «Роскосмос».</w:t>
            </w:r>
          </w:p>
          <w:p w:rsidR="00AC01BD" w:rsidRDefault="00AC01BD">
            <w:pPr>
              <w:pStyle w:val="a4"/>
              <w:spacing w:line="270" w:lineRule="atLeast"/>
              <w:rPr>
                <w:rFonts w:ascii="Arial" w:hAnsi="Arial" w:cs="Arial"/>
                <w:color w:val="444444"/>
                <w:sz w:val="21"/>
                <w:szCs w:val="21"/>
              </w:rPr>
            </w:pPr>
            <w:r>
              <w:rPr>
                <w:rFonts w:ascii="Calibri" w:hAnsi="Calibri" w:cs="Arial"/>
                <w:color w:val="444444"/>
                <w:sz w:val="22"/>
                <w:szCs w:val="22"/>
              </w:rPr>
              <w:t xml:space="preserve">Общественное обсуждение проекта завершится 12 марта 2021 года. </w:t>
            </w:r>
          </w:p>
        </w:tc>
      </w:tr>
      <w:tr w:rsidR="00AC01BD" w:rsidTr="00AC01BD">
        <w:trPr>
          <w:jc w:val="center"/>
        </w:trPr>
        <w:tc>
          <w:tcPr>
            <w:tcW w:w="9007" w:type="dxa"/>
            <w:shd w:val="clear" w:color="auto" w:fill="FFFFFF"/>
            <w:tcMar>
              <w:top w:w="0" w:type="dxa"/>
              <w:left w:w="375" w:type="dxa"/>
              <w:bottom w:w="0" w:type="dxa"/>
              <w:right w:w="375" w:type="dxa"/>
            </w:tcMar>
            <w:vAlign w:val="center"/>
            <w:hideMark/>
          </w:tcPr>
          <w:p w:rsidR="00AC01BD" w:rsidRDefault="00AC01BD">
            <w:pPr>
              <w:jc w:val="center"/>
              <w:rPr>
                <w:rFonts w:eastAsia="Times New Roman"/>
              </w:rPr>
            </w:pPr>
            <w:r>
              <w:rPr>
                <w:rFonts w:eastAsia="Times New Roman"/>
              </w:rPr>
              <w:lastRenderedPageBreak/>
              <w:pict>
                <v:rect id="_x0000_i1027" style="width:467.75pt;height:.75pt" o:hralign="center" o:hrstd="t" o:hr="t" fillcolor="gray" stroked="f"/>
              </w:pict>
            </w:r>
          </w:p>
        </w:tc>
      </w:tr>
      <w:tr w:rsidR="00AC01BD" w:rsidTr="00AC01BD">
        <w:trPr>
          <w:jc w:val="center"/>
        </w:trPr>
        <w:tc>
          <w:tcPr>
            <w:tcW w:w="9007" w:type="dxa"/>
            <w:shd w:val="clear" w:color="auto" w:fill="FFFFFF"/>
            <w:tcMar>
              <w:top w:w="300" w:type="dxa"/>
              <w:left w:w="450" w:type="dxa"/>
              <w:bottom w:w="150" w:type="dxa"/>
              <w:right w:w="450" w:type="dxa"/>
            </w:tcMar>
            <w:vAlign w:val="center"/>
            <w:hideMark/>
          </w:tcPr>
          <w:p w:rsidR="00AC01BD" w:rsidRDefault="00AC01BD">
            <w:pPr>
              <w:rPr>
                <w:rFonts w:eastAsia="Times New Roman"/>
              </w:rPr>
            </w:pPr>
            <w:hyperlink r:id="rId31" w:tgtFrame="_blank" w:history="1">
              <w:r>
                <w:rPr>
                  <w:rStyle w:val="a3"/>
                  <w:rFonts w:eastAsia="Times New Roman"/>
                  <w:b/>
                  <w:bCs/>
                  <w:color w:val="555555"/>
                  <w:sz w:val="27"/>
                  <w:szCs w:val="27"/>
                  <w:u w:val="none"/>
                </w:rPr>
                <w:t xml:space="preserve">Уточнены перечни кодов бюджетной классификации на 2021 год и плановый период 2022 и 2023 годов </w:t>
              </w:r>
            </w:hyperlink>
          </w:p>
        </w:tc>
      </w:tr>
      <w:tr w:rsidR="00AC01BD" w:rsidTr="00AC01BD">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AC01BD">
              <w:tc>
                <w:tcPr>
                  <w:tcW w:w="7650" w:type="dxa"/>
                  <w:shd w:val="clear" w:color="auto" w:fill="EEEEEE"/>
                  <w:tcMar>
                    <w:top w:w="225" w:type="dxa"/>
                    <w:left w:w="225" w:type="dxa"/>
                    <w:bottom w:w="225" w:type="dxa"/>
                    <w:right w:w="225" w:type="dxa"/>
                  </w:tcMar>
                  <w:vAlign w:val="center"/>
                  <w:hideMark/>
                </w:tcPr>
                <w:p w:rsidR="00AC01BD" w:rsidRDefault="00AC01BD">
                  <w:pPr>
                    <w:rPr>
                      <w:rFonts w:eastAsia="Times New Roman"/>
                    </w:rPr>
                  </w:pPr>
                  <w:r>
                    <w:rPr>
                      <w:rFonts w:ascii="Arial" w:eastAsia="Times New Roman" w:hAnsi="Arial" w:cs="Arial"/>
                      <w:color w:val="444444"/>
                      <w:sz w:val="21"/>
                      <w:szCs w:val="21"/>
                    </w:rPr>
                    <w:t xml:space="preserve">Риски: при планировании расходов необходимо учитывать уточненные коды бюджетной классификации. </w:t>
                  </w:r>
                </w:p>
              </w:tc>
            </w:tr>
          </w:tbl>
          <w:p w:rsidR="00AC01BD" w:rsidRDefault="00AC01BD">
            <w:pPr>
              <w:rPr>
                <w:rFonts w:eastAsia="Times New Roman"/>
                <w:sz w:val="20"/>
                <w:szCs w:val="20"/>
              </w:rPr>
            </w:pPr>
          </w:p>
        </w:tc>
      </w:tr>
      <w:tr w:rsidR="00AC01BD" w:rsidTr="00AC01BD">
        <w:trPr>
          <w:jc w:val="center"/>
        </w:trPr>
        <w:tc>
          <w:tcPr>
            <w:tcW w:w="9007" w:type="dxa"/>
            <w:shd w:val="clear" w:color="auto" w:fill="FFFFFF"/>
            <w:tcMar>
              <w:top w:w="300" w:type="dxa"/>
              <w:left w:w="450" w:type="dxa"/>
              <w:bottom w:w="300" w:type="dxa"/>
              <w:right w:w="450" w:type="dxa"/>
            </w:tcMar>
            <w:vAlign w:val="center"/>
            <w:hideMark/>
          </w:tcPr>
          <w:p w:rsidR="00AC01BD" w:rsidRDefault="00AC01BD">
            <w:pPr>
              <w:spacing w:line="270" w:lineRule="atLeast"/>
              <w:rPr>
                <w:rFonts w:ascii="Arial" w:eastAsia="Times New Roman" w:hAnsi="Arial" w:cs="Arial"/>
                <w:color w:val="444444"/>
                <w:sz w:val="21"/>
                <w:szCs w:val="21"/>
              </w:rPr>
            </w:pPr>
            <w:r>
              <w:rPr>
                <w:noProof/>
              </w:rPr>
              <w:drawing>
                <wp:anchor distT="0" distB="0" distL="142875" distR="142875" simplePos="0" relativeHeight="251662336" behindDoc="0" locked="0" layoutInCell="1" allowOverlap="0" wp14:anchorId="0EB392CB" wp14:editId="1A132ACC">
                  <wp:simplePos x="0" y="0"/>
                  <wp:positionH relativeFrom="column">
                    <wp:align>left</wp:align>
                  </wp:positionH>
                  <wp:positionV relativeFrom="line">
                    <wp:posOffset>0</wp:posOffset>
                  </wp:positionV>
                  <wp:extent cx="1190625" cy="800100"/>
                  <wp:effectExtent l="0" t="0" r="9525" b="0"/>
                  <wp:wrapSquare wrapText="bothSides"/>
                  <wp:docPr id="5" name="Рисунок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AC01BD" w:rsidRDefault="00AC01BD">
            <w:pPr>
              <w:pStyle w:val="a4"/>
              <w:spacing w:line="270" w:lineRule="atLeast"/>
              <w:rPr>
                <w:rFonts w:ascii="Arial" w:hAnsi="Arial" w:cs="Arial"/>
                <w:color w:val="444444"/>
                <w:sz w:val="21"/>
                <w:szCs w:val="21"/>
              </w:rPr>
            </w:pPr>
            <w:hyperlink r:id="rId33" w:history="1">
              <w:r>
                <w:rPr>
                  <w:rStyle w:val="a3"/>
                  <w:color w:val="0000FF"/>
                </w:rPr>
                <w:t>Приказом</w:t>
              </w:r>
            </w:hyperlink>
            <w:r>
              <w:rPr>
                <w:rFonts w:ascii="Calibri" w:hAnsi="Calibri" w:cs="Arial"/>
                <w:color w:val="444444"/>
                <w:sz w:val="22"/>
                <w:szCs w:val="22"/>
              </w:rPr>
              <w:t xml:space="preserve">  Минфина России от 09.02.2021 N 15н дополнен новыми приложениями </w:t>
            </w:r>
            <w:hyperlink r:id="rId34" w:history="1">
              <w:r>
                <w:rPr>
                  <w:rStyle w:val="a3"/>
                  <w:color w:val="0000FF"/>
                </w:rPr>
                <w:t>Приказ</w:t>
              </w:r>
            </w:hyperlink>
            <w:r>
              <w:rPr>
                <w:rFonts w:ascii="Calibri" w:hAnsi="Calibri" w:cs="Arial"/>
                <w:color w:val="444444"/>
                <w:sz w:val="22"/>
                <w:szCs w:val="22"/>
              </w:rPr>
              <w:t xml:space="preserve"> Минфина России от 08.06.2020 N 99н «Об утверждении кодов (перечней кодов) бюджетной классификации Российской Федерации на 2021 год (на 2021 год и на плановый период 2022 и 2023 годов)», а именно в него внесены:</w:t>
            </w:r>
          </w:p>
          <w:p w:rsidR="00AC01BD" w:rsidRDefault="00AC01BD">
            <w:pPr>
              <w:pStyle w:val="a4"/>
              <w:spacing w:line="270" w:lineRule="atLeast"/>
              <w:rPr>
                <w:rFonts w:ascii="Arial" w:hAnsi="Arial" w:cs="Arial"/>
                <w:color w:val="444444"/>
                <w:sz w:val="21"/>
                <w:szCs w:val="21"/>
              </w:rPr>
            </w:pPr>
            <w:r>
              <w:rPr>
                <w:rFonts w:ascii="Calibri" w:hAnsi="Calibri" w:cs="Arial"/>
                <w:color w:val="444444"/>
                <w:sz w:val="22"/>
                <w:szCs w:val="22"/>
              </w:rPr>
              <w:t>– коды направлений расходов целевых статей расходов федерального бюджета на достижение результатов федерального проекта «Экспорт образования»;</w:t>
            </w:r>
          </w:p>
          <w:p w:rsidR="00AC01BD" w:rsidRDefault="00AC01BD">
            <w:pPr>
              <w:pStyle w:val="a4"/>
              <w:spacing w:line="270" w:lineRule="atLeast"/>
              <w:rPr>
                <w:rFonts w:ascii="Arial" w:hAnsi="Arial" w:cs="Arial"/>
                <w:color w:val="444444"/>
                <w:sz w:val="21"/>
                <w:szCs w:val="21"/>
              </w:rPr>
            </w:pPr>
            <w:r>
              <w:rPr>
                <w:rFonts w:ascii="Calibri" w:hAnsi="Calibri" w:cs="Arial"/>
                <w:color w:val="444444"/>
                <w:sz w:val="22"/>
                <w:szCs w:val="22"/>
              </w:rPr>
              <w:t>– коды направлений расходов целевых статей расходов федерального бюджета на достижение результатов федерального проекта «Экспорт услуг»;</w:t>
            </w:r>
          </w:p>
          <w:p w:rsidR="00AC01BD" w:rsidRDefault="00AC01BD">
            <w:pPr>
              <w:pStyle w:val="a4"/>
              <w:spacing w:line="270" w:lineRule="atLeast"/>
              <w:rPr>
                <w:rFonts w:ascii="Arial" w:hAnsi="Arial" w:cs="Arial"/>
                <w:color w:val="444444"/>
                <w:sz w:val="21"/>
                <w:szCs w:val="21"/>
              </w:rPr>
            </w:pPr>
            <w:r>
              <w:rPr>
                <w:rFonts w:ascii="Calibri" w:hAnsi="Calibri" w:cs="Arial"/>
                <w:color w:val="444444"/>
                <w:sz w:val="22"/>
                <w:szCs w:val="22"/>
              </w:rPr>
              <w:t xml:space="preserve">– коды направлений расходов целевых статей расходов федерального бюджета на </w:t>
            </w:r>
            <w:r>
              <w:rPr>
                <w:rFonts w:ascii="Calibri" w:hAnsi="Calibri" w:cs="Arial"/>
                <w:color w:val="444444"/>
                <w:sz w:val="22"/>
                <w:szCs w:val="22"/>
              </w:rPr>
              <w:lastRenderedPageBreak/>
              <w:t>достижение результатов федерального проекта «Транспортно-логистические центры» комплексного плана модернизации и расширения магистральной инфраструктуры.</w:t>
            </w:r>
          </w:p>
          <w:p w:rsidR="00AC01BD" w:rsidRDefault="00AC01BD">
            <w:pPr>
              <w:pStyle w:val="a4"/>
              <w:spacing w:line="270" w:lineRule="atLeast"/>
              <w:rPr>
                <w:rFonts w:ascii="Arial" w:hAnsi="Arial" w:cs="Arial"/>
                <w:color w:val="444444"/>
                <w:sz w:val="21"/>
                <w:szCs w:val="21"/>
              </w:rPr>
            </w:pPr>
            <w:r>
              <w:rPr>
                <w:rFonts w:ascii="Calibri" w:hAnsi="Calibri" w:cs="Arial"/>
                <w:color w:val="444444"/>
                <w:sz w:val="22"/>
                <w:szCs w:val="22"/>
              </w:rPr>
              <w:t>Кроме того, дополнен новыми кодами перечень, предусмотренный приложением 1 «Коды видов доходов бюджетов и соответствующие им коды аналитической группы подвидов доходов бюджетов».</w:t>
            </w:r>
          </w:p>
          <w:p w:rsidR="00AC01BD" w:rsidRDefault="00AC01BD">
            <w:pPr>
              <w:pStyle w:val="a4"/>
              <w:spacing w:line="270" w:lineRule="atLeast"/>
              <w:rPr>
                <w:rFonts w:ascii="Arial" w:hAnsi="Arial" w:cs="Arial"/>
                <w:color w:val="444444"/>
                <w:sz w:val="21"/>
                <w:szCs w:val="21"/>
              </w:rPr>
            </w:pPr>
            <w:r>
              <w:rPr>
                <w:rFonts w:ascii="Calibri" w:hAnsi="Calibri" w:cs="Arial"/>
                <w:color w:val="444444"/>
                <w:sz w:val="22"/>
                <w:szCs w:val="22"/>
              </w:rPr>
              <w:t xml:space="preserve">В настоящее время </w:t>
            </w:r>
            <w:hyperlink r:id="rId35" w:history="1">
              <w:r>
                <w:rPr>
                  <w:rStyle w:val="a3"/>
                  <w:color w:val="0000FF"/>
                </w:rPr>
                <w:t>Приказ</w:t>
              </w:r>
            </w:hyperlink>
            <w:r>
              <w:rPr>
                <w:rFonts w:ascii="Calibri" w:hAnsi="Calibri" w:cs="Arial"/>
                <w:color w:val="444444"/>
                <w:sz w:val="22"/>
                <w:szCs w:val="22"/>
              </w:rPr>
              <w:t xml:space="preserve"> Минфина России от 09.02.2021 N 15н находится на регистрации в Минюсте России. Следует учитывать, что при регистрации текст документа может быть изменен. </w:t>
            </w:r>
          </w:p>
        </w:tc>
      </w:tr>
      <w:tr w:rsidR="00AC01BD" w:rsidTr="00AC01BD">
        <w:trPr>
          <w:jc w:val="center"/>
        </w:trPr>
        <w:tc>
          <w:tcPr>
            <w:tcW w:w="9007" w:type="dxa"/>
            <w:shd w:val="clear" w:color="auto" w:fill="FFFFFF"/>
            <w:tcMar>
              <w:top w:w="0" w:type="dxa"/>
              <w:left w:w="375" w:type="dxa"/>
              <w:bottom w:w="0" w:type="dxa"/>
              <w:right w:w="375" w:type="dxa"/>
            </w:tcMar>
            <w:vAlign w:val="center"/>
            <w:hideMark/>
          </w:tcPr>
          <w:p w:rsidR="00AC01BD" w:rsidRDefault="00AC01BD">
            <w:pPr>
              <w:jc w:val="center"/>
              <w:rPr>
                <w:rFonts w:eastAsia="Times New Roman"/>
              </w:rPr>
            </w:pPr>
            <w:r>
              <w:rPr>
                <w:rFonts w:eastAsia="Times New Roman"/>
              </w:rPr>
              <w:lastRenderedPageBreak/>
              <w:pict>
                <v:rect id="_x0000_i1028" style="width:467.75pt;height:.75pt" o:hralign="center" o:hrstd="t" o:hr="t" fillcolor="gray" stroked="f"/>
              </w:pict>
            </w:r>
          </w:p>
        </w:tc>
      </w:tr>
      <w:tr w:rsidR="00AC01BD" w:rsidTr="00AC01BD">
        <w:trPr>
          <w:jc w:val="center"/>
        </w:trPr>
        <w:tc>
          <w:tcPr>
            <w:tcW w:w="9007" w:type="dxa"/>
            <w:shd w:val="clear" w:color="auto" w:fill="D0D1D3"/>
            <w:tcMar>
              <w:top w:w="300" w:type="dxa"/>
              <w:left w:w="300" w:type="dxa"/>
              <w:bottom w:w="300" w:type="dxa"/>
              <w:right w:w="300" w:type="dxa"/>
            </w:tcMar>
            <w:vAlign w:val="center"/>
            <w:hideMark/>
          </w:tcPr>
          <w:p w:rsidR="00AC01BD" w:rsidRDefault="00AC01BD">
            <w:pPr>
              <w:rPr>
                <w:rFonts w:ascii="Arial" w:eastAsia="Times New Roman" w:hAnsi="Arial" w:cs="Arial"/>
                <w:sz w:val="27"/>
                <w:szCs w:val="27"/>
              </w:rPr>
            </w:pPr>
            <w:r>
              <w:rPr>
                <w:rFonts w:ascii="Arial" w:eastAsia="Times New Roman" w:hAnsi="Arial" w:cs="Arial"/>
                <w:sz w:val="27"/>
                <w:szCs w:val="27"/>
              </w:rPr>
              <w:t xml:space="preserve">ВАЖНО ЗНАТЬ КАДРОВОМУ РАБОТНИКУ </w:t>
            </w:r>
          </w:p>
        </w:tc>
      </w:tr>
      <w:tr w:rsidR="00AC01BD" w:rsidTr="00AC01BD">
        <w:trPr>
          <w:jc w:val="center"/>
        </w:trPr>
        <w:tc>
          <w:tcPr>
            <w:tcW w:w="9007" w:type="dxa"/>
            <w:shd w:val="clear" w:color="auto" w:fill="FFFFFF"/>
            <w:tcMar>
              <w:top w:w="300" w:type="dxa"/>
              <w:left w:w="450" w:type="dxa"/>
              <w:bottom w:w="150" w:type="dxa"/>
              <w:right w:w="450" w:type="dxa"/>
            </w:tcMar>
            <w:vAlign w:val="center"/>
            <w:hideMark/>
          </w:tcPr>
          <w:p w:rsidR="00AC01BD" w:rsidRDefault="00AC01BD">
            <w:pPr>
              <w:rPr>
                <w:rFonts w:eastAsia="Times New Roman"/>
              </w:rPr>
            </w:pPr>
            <w:hyperlink r:id="rId36" w:tgtFrame="_blank" w:history="1">
              <w:r>
                <w:rPr>
                  <w:rStyle w:val="a3"/>
                  <w:rFonts w:eastAsia="Times New Roman"/>
                  <w:b/>
                  <w:bCs/>
                  <w:color w:val="555555"/>
                  <w:sz w:val="27"/>
                  <w:szCs w:val="27"/>
                  <w:u w:val="none"/>
                </w:rPr>
                <w:t xml:space="preserve">Минздрав РФ планирует разрешить дистанционные медосмотры водителей </w:t>
              </w:r>
            </w:hyperlink>
          </w:p>
        </w:tc>
      </w:tr>
      <w:tr w:rsidR="00AC01BD" w:rsidTr="00AC01BD">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AC01BD">
              <w:tc>
                <w:tcPr>
                  <w:tcW w:w="7650" w:type="dxa"/>
                  <w:shd w:val="clear" w:color="auto" w:fill="EEEEEE"/>
                  <w:tcMar>
                    <w:top w:w="225" w:type="dxa"/>
                    <w:left w:w="225" w:type="dxa"/>
                    <w:bottom w:w="225" w:type="dxa"/>
                    <w:right w:w="225" w:type="dxa"/>
                  </w:tcMar>
                  <w:vAlign w:val="center"/>
                  <w:hideMark/>
                </w:tcPr>
                <w:p w:rsidR="00AC01BD" w:rsidRDefault="00AC01BD">
                  <w:pPr>
                    <w:rPr>
                      <w:rFonts w:eastAsia="Times New Roman"/>
                    </w:rPr>
                  </w:pPr>
                  <w:r>
                    <w:rPr>
                      <w:rFonts w:ascii="Arial" w:eastAsia="Times New Roman" w:hAnsi="Arial" w:cs="Arial"/>
                      <w:color w:val="444444"/>
                      <w:sz w:val="21"/>
                      <w:szCs w:val="21"/>
                    </w:rPr>
                    <w:t xml:space="preserve">Возможности: в случае принятия изменений профессиональные водители, обязанные перед каждым рейсом проходить медосмотры, могут делать это дистанционно. </w:t>
                  </w:r>
                </w:p>
              </w:tc>
            </w:tr>
          </w:tbl>
          <w:p w:rsidR="00AC01BD" w:rsidRDefault="00AC01BD">
            <w:pPr>
              <w:rPr>
                <w:rFonts w:eastAsia="Times New Roman"/>
                <w:sz w:val="20"/>
                <w:szCs w:val="20"/>
              </w:rPr>
            </w:pPr>
          </w:p>
        </w:tc>
      </w:tr>
      <w:tr w:rsidR="00AC01BD" w:rsidTr="00AC01BD">
        <w:trPr>
          <w:jc w:val="center"/>
        </w:trPr>
        <w:tc>
          <w:tcPr>
            <w:tcW w:w="9007" w:type="dxa"/>
            <w:shd w:val="clear" w:color="auto" w:fill="FFFFFF"/>
            <w:tcMar>
              <w:top w:w="300" w:type="dxa"/>
              <w:left w:w="450" w:type="dxa"/>
              <w:bottom w:w="300" w:type="dxa"/>
              <w:right w:w="450" w:type="dxa"/>
            </w:tcMar>
            <w:vAlign w:val="center"/>
            <w:hideMark/>
          </w:tcPr>
          <w:p w:rsidR="00AC01BD" w:rsidRDefault="00AC01BD">
            <w:pPr>
              <w:spacing w:line="270" w:lineRule="atLeast"/>
              <w:rPr>
                <w:rFonts w:ascii="Arial" w:eastAsia="Times New Roman" w:hAnsi="Arial" w:cs="Arial"/>
                <w:color w:val="444444"/>
                <w:sz w:val="21"/>
                <w:szCs w:val="21"/>
              </w:rPr>
            </w:pPr>
            <w:r>
              <w:rPr>
                <w:noProof/>
              </w:rPr>
              <w:drawing>
                <wp:anchor distT="0" distB="0" distL="142875" distR="142875" simplePos="0" relativeHeight="251663360" behindDoc="0" locked="0" layoutInCell="1" allowOverlap="0" wp14:anchorId="1ECAB0DC" wp14:editId="60EFA297">
                  <wp:simplePos x="0" y="0"/>
                  <wp:positionH relativeFrom="column">
                    <wp:align>left</wp:align>
                  </wp:positionH>
                  <wp:positionV relativeFrom="line">
                    <wp:posOffset>0</wp:posOffset>
                  </wp:positionV>
                  <wp:extent cx="1190625" cy="790575"/>
                  <wp:effectExtent l="0" t="0" r="9525" b="9525"/>
                  <wp:wrapSquare wrapText="bothSides"/>
                  <wp:docPr id="6" name="Рисунок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AC01BD" w:rsidRDefault="00AC01BD">
            <w:pPr>
              <w:pStyle w:val="a4"/>
              <w:spacing w:line="270" w:lineRule="atLeast"/>
              <w:rPr>
                <w:rFonts w:ascii="Arial" w:hAnsi="Arial" w:cs="Arial"/>
                <w:color w:val="444444"/>
                <w:sz w:val="21"/>
                <w:szCs w:val="21"/>
              </w:rPr>
            </w:pPr>
            <w:r>
              <w:rPr>
                <w:rFonts w:ascii="Arial" w:hAnsi="Arial" w:cs="Arial"/>
                <w:color w:val="444444"/>
                <w:sz w:val="21"/>
                <w:szCs w:val="21"/>
              </w:rPr>
              <w:t> </w:t>
            </w:r>
          </w:p>
          <w:p w:rsidR="00AC01BD" w:rsidRDefault="00AC01BD">
            <w:pPr>
              <w:pStyle w:val="a4"/>
              <w:spacing w:line="270" w:lineRule="atLeast"/>
              <w:rPr>
                <w:rFonts w:ascii="Arial" w:hAnsi="Arial" w:cs="Arial"/>
                <w:color w:val="444444"/>
                <w:sz w:val="21"/>
                <w:szCs w:val="21"/>
              </w:rPr>
            </w:pPr>
            <w:r>
              <w:rPr>
                <w:rFonts w:ascii="Calibri" w:hAnsi="Calibri" w:cs="Arial"/>
                <w:color w:val="444444"/>
                <w:sz w:val="22"/>
                <w:szCs w:val="22"/>
              </w:rPr>
              <w:t xml:space="preserve">Согласно </w:t>
            </w:r>
            <w:hyperlink r:id="rId38" w:history="1">
              <w:r>
                <w:rPr>
                  <w:rStyle w:val="a3"/>
                  <w:color w:val="0000FF"/>
                </w:rPr>
                <w:t>Проекту</w:t>
              </w:r>
            </w:hyperlink>
            <w:r>
              <w:rPr>
                <w:rFonts w:ascii="Calibri" w:hAnsi="Calibri" w:cs="Arial"/>
                <w:color w:val="444444"/>
                <w:sz w:val="22"/>
                <w:szCs w:val="22"/>
              </w:rPr>
              <w:t xml:space="preserve"> Федерального закона «О внесении изменений в законодательство Российской Федерации в целях совершенствования проведения медицинских осмотров» допускается проведение предсменных, предрейсовых медицинских осмотров, проводимых до начала рабочего дня (смены, рейса), а также послесменных, послерейсовых медицинских осмотров, проводимых по окончании рабочего дня (смены, рейса),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здоровья работников, в соответствии с трудовым законодательством.</w:t>
            </w:r>
          </w:p>
          <w:p w:rsidR="00AC01BD" w:rsidRDefault="00AC01BD">
            <w:pPr>
              <w:pStyle w:val="a4"/>
              <w:spacing w:line="270" w:lineRule="atLeast"/>
              <w:rPr>
                <w:rFonts w:ascii="Arial" w:hAnsi="Arial" w:cs="Arial"/>
                <w:color w:val="444444"/>
                <w:sz w:val="21"/>
                <w:szCs w:val="21"/>
              </w:rPr>
            </w:pPr>
            <w:r>
              <w:rPr>
                <w:rFonts w:ascii="Calibri" w:hAnsi="Calibri" w:cs="Arial"/>
                <w:color w:val="444444"/>
                <w:sz w:val="22"/>
                <w:szCs w:val="22"/>
              </w:rPr>
              <w:t>Медицинскими изделиями, обеспечивающими автоматизированную дистанционную передачу информации о состоянии здоровья работников, являются различного рода устройства фактической передачи сведений о произведенном медицинском осмотре.</w:t>
            </w:r>
          </w:p>
          <w:p w:rsidR="00AC01BD" w:rsidRDefault="00AC01BD">
            <w:pPr>
              <w:pStyle w:val="a4"/>
              <w:spacing w:line="270" w:lineRule="atLeast"/>
              <w:rPr>
                <w:rFonts w:ascii="Arial" w:hAnsi="Arial" w:cs="Arial"/>
                <w:color w:val="444444"/>
                <w:sz w:val="21"/>
                <w:szCs w:val="21"/>
              </w:rPr>
            </w:pPr>
            <w:r>
              <w:rPr>
                <w:rFonts w:ascii="Calibri" w:hAnsi="Calibri" w:cs="Arial"/>
                <w:color w:val="444444"/>
                <w:sz w:val="22"/>
                <w:szCs w:val="22"/>
              </w:rPr>
              <w:t xml:space="preserve">Особенности использования медицинских изделий, обеспечивающих дистанционную передачу информации о состоянии здоровья работников и дистанционный контроль состояния здоровья работников, предполагается установить в порядке проведения указанных медицинских осмотров, в связи с чем соответствующие изменения вносятся в </w:t>
            </w:r>
            <w:hyperlink r:id="rId39" w:history="1">
              <w:r>
                <w:rPr>
                  <w:rStyle w:val="a3"/>
                  <w:color w:val="0000FF"/>
                </w:rPr>
                <w:t>Федеральные законы</w:t>
              </w:r>
            </w:hyperlink>
            <w:r>
              <w:rPr>
                <w:rFonts w:ascii="Calibri" w:hAnsi="Calibri" w:cs="Arial"/>
                <w:color w:val="444444"/>
                <w:sz w:val="22"/>
                <w:szCs w:val="22"/>
              </w:rPr>
              <w:t xml:space="preserve"> от 21.11.2011 N 323-ФЗ «Об основах охраны здоровья граждан в Российской Федерации», от 10.01.2003 N </w:t>
            </w:r>
            <w:hyperlink r:id="rId40" w:history="1">
              <w:r>
                <w:rPr>
                  <w:rStyle w:val="a3"/>
                  <w:color w:val="0000FF"/>
                </w:rPr>
                <w:t>17-ФЗ</w:t>
              </w:r>
            </w:hyperlink>
            <w:r>
              <w:rPr>
                <w:rFonts w:ascii="Calibri" w:hAnsi="Calibri" w:cs="Arial"/>
                <w:color w:val="444444"/>
                <w:sz w:val="22"/>
                <w:szCs w:val="22"/>
              </w:rPr>
              <w:t xml:space="preserve"> «О железнодорожном транспорте в Российской Федерации», от 26.03.2003 N </w:t>
            </w:r>
            <w:hyperlink r:id="rId41" w:history="1">
              <w:r>
                <w:rPr>
                  <w:rStyle w:val="a3"/>
                  <w:color w:val="0000FF"/>
                </w:rPr>
                <w:t>35-ФЗ</w:t>
              </w:r>
            </w:hyperlink>
            <w:r>
              <w:rPr>
                <w:rFonts w:ascii="Calibri" w:hAnsi="Calibri" w:cs="Arial"/>
                <w:color w:val="444444"/>
                <w:sz w:val="22"/>
                <w:szCs w:val="22"/>
              </w:rPr>
              <w:t xml:space="preserve"> «Об электроэнергетике», от 2 мая 1997 года N </w:t>
            </w:r>
            <w:hyperlink r:id="rId42" w:history="1">
              <w:r>
                <w:rPr>
                  <w:rStyle w:val="a3"/>
                  <w:color w:val="0000FF"/>
                </w:rPr>
                <w:t>76-ФЗ</w:t>
              </w:r>
            </w:hyperlink>
            <w:r>
              <w:rPr>
                <w:rFonts w:ascii="Calibri" w:hAnsi="Calibri" w:cs="Arial"/>
                <w:color w:val="444444"/>
                <w:sz w:val="22"/>
                <w:szCs w:val="22"/>
              </w:rPr>
              <w:t xml:space="preserve"> «Об уничтожении химического оружия», от 10.12.1995 N </w:t>
            </w:r>
            <w:hyperlink r:id="rId43" w:history="1">
              <w:r>
                <w:rPr>
                  <w:rStyle w:val="a3"/>
                  <w:color w:val="0000FF"/>
                </w:rPr>
                <w:t>196-ФЗ</w:t>
              </w:r>
            </w:hyperlink>
            <w:r>
              <w:rPr>
                <w:rFonts w:ascii="Calibri" w:hAnsi="Calibri" w:cs="Arial"/>
                <w:color w:val="444444"/>
                <w:sz w:val="22"/>
                <w:szCs w:val="22"/>
              </w:rPr>
              <w:t xml:space="preserve"> «О безопасности дорожного движения».</w:t>
            </w:r>
          </w:p>
          <w:p w:rsidR="00AC01BD" w:rsidRDefault="00AC01BD">
            <w:pPr>
              <w:pStyle w:val="a4"/>
              <w:spacing w:line="270" w:lineRule="atLeast"/>
              <w:rPr>
                <w:rFonts w:ascii="Arial" w:hAnsi="Arial" w:cs="Arial"/>
                <w:color w:val="444444"/>
                <w:sz w:val="21"/>
                <w:szCs w:val="21"/>
              </w:rPr>
            </w:pPr>
            <w:r>
              <w:rPr>
                <w:rFonts w:ascii="Calibri" w:hAnsi="Calibri" w:cs="Arial"/>
                <w:color w:val="444444"/>
                <w:sz w:val="22"/>
                <w:szCs w:val="22"/>
              </w:rPr>
              <w:t xml:space="preserve">Также отмечено, что применение медицинских изделий, обеспечивающих автоматизированную дистанционную передачу информации о состоянии здоровья </w:t>
            </w:r>
            <w:r>
              <w:rPr>
                <w:rFonts w:ascii="Calibri" w:hAnsi="Calibri" w:cs="Arial"/>
                <w:color w:val="444444"/>
                <w:sz w:val="22"/>
                <w:szCs w:val="22"/>
              </w:rPr>
              <w:lastRenderedPageBreak/>
              <w:t>работников и дистанционный контроль состояния здоровья работников, не отменяет традиционных предсменных, предрейсовых, послесменных, послерейсовых медицинских осмотров и является правом работодателя.</w:t>
            </w:r>
          </w:p>
        </w:tc>
      </w:tr>
      <w:tr w:rsidR="00AC01BD" w:rsidTr="00AC01BD">
        <w:trPr>
          <w:jc w:val="center"/>
        </w:trPr>
        <w:tc>
          <w:tcPr>
            <w:tcW w:w="9007" w:type="dxa"/>
            <w:shd w:val="clear" w:color="auto" w:fill="FFFFFF"/>
            <w:tcMar>
              <w:top w:w="0" w:type="dxa"/>
              <w:left w:w="375" w:type="dxa"/>
              <w:bottom w:w="0" w:type="dxa"/>
              <w:right w:w="375" w:type="dxa"/>
            </w:tcMar>
            <w:vAlign w:val="center"/>
            <w:hideMark/>
          </w:tcPr>
          <w:p w:rsidR="00AC01BD" w:rsidRDefault="00AC01BD">
            <w:pPr>
              <w:jc w:val="center"/>
              <w:rPr>
                <w:rFonts w:eastAsia="Times New Roman"/>
              </w:rPr>
            </w:pPr>
            <w:r>
              <w:rPr>
                <w:rFonts w:eastAsia="Times New Roman"/>
              </w:rPr>
              <w:lastRenderedPageBreak/>
              <w:pict>
                <v:rect id="_x0000_i1029" style="width:467.75pt;height:.75pt" o:hralign="center" o:hrstd="t" o:hr="t" fillcolor="gray" stroked="f"/>
              </w:pict>
            </w:r>
          </w:p>
        </w:tc>
      </w:tr>
      <w:tr w:rsidR="00AC01BD" w:rsidTr="00AC01BD">
        <w:trPr>
          <w:jc w:val="center"/>
        </w:trPr>
        <w:tc>
          <w:tcPr>
            <w:tcW w:w="9007" w:type="dxa"/>
            <w:shd w:val="clear" w:color="auto" w:fill="D0D1D3"/>
            <w:tcMar>
              <w:top w:w="300" w:type="dxa"/>
              <w:left w:w="300" w:type="dxa"/>
              <w:bottom w:w="300" w:type="dxa"/>
              <w:right w:w="300" w:type="dxa"/>
            </w:tcMar>
            <w:vAlign w:val="center"/>
            <w:hideMark/>
          </w:tcPr>
          <w:p w:rsidR="00AC01BD" w:rsidRDefault="00AC01BD">
            <w:pPr>
              <w:rPr>
                <w:rFonts w:ascii="Arial" w:eastAsia="Times New Roman" w:hAnsi="Arial" w:cs="Arial"/>
                <w:sz w:val="27"/>
                <w:szCs w:val="27"/>
              </w:rPr>
            </w:pPr>
            <w:r>
              <w:rPr>
                <w:rFonts w:ascii="Arial" w:eastAsia="Times New Roman" w:hAnsi="Arial" w:cs="Arial"/>
                <w:sz w:val="27"/>
                <w:szCs w:val="27"/>
              </w:rPr>
              <w:t xml:space="preserve">ЦЕНТР ОПЕРАТИВНОГО КОНСУЛЬТИРОВАНИЯ ОТВЕЧАЕТ </w:t>
            </w:r>
          </w:p>
        </w:tc>
      </w:tr>
      <w:tr w:rsidR="00AC01BD" w:rsidTr="00AC01BD">
        <w:trPr>
          <w:jc w:val="center"/>
        </w:trPr>
        <w:tc>
          <w:tcPr>
            <w:tcW w:w="9007" w:type="dxa"/>
            <w:shd w:val="clear" w:color="auto" w:fill="FFFFFF"/>
            <w:tcMar>
              <w:top w:w="300" w:type="dxa"/>
              <w:left w:w="450" w:type="dxa"/>
              <w:bottom w:w="150" w:type="dxa"/>
              <w:right w:w="450" w:type="dxa"/>
            </w:tcMar>
            <w:vAlign w:val="center"/>
            <w:hideMark/>
          </w:tcPr>
          <w:p w:rsidR="00AC01BD" w:rsidRDefault="00AC01BD">
            <w:pPr>
              <w:rPr>
                <w:rFonts w:eastAsia="Times New Roman"/>
              </w:rPr>
            </w:pPr>
            <w:hyperlink r:id="rId44" w:tgtFrame="_blank" w:history="1">
              <w:r>
                <w:rPr>
                  <w:rStyle w:val="a3"/>
                  <w:rFonts w:eastAsia="Times New Roman"/>
                  <w:b/>
                  <w:bCs/>
                  <w:color w:val="555555"/>
                  <w:sz w:val="27"/>
                  <w:szCs w:val="27"/>
                  <w:u w:val="none"/>
                </w:rPr>
                <w:t xml:space="preserve">Может ли сотрудник быть внешним совместителем, если по основному месту работы он находится в отпуске по уходу за ребенком до трех лет? </w:t>
              </w:r>
            </w:hyperlink>
          </w:p>
        </w:tc>
      </w:tr>
      <w:tr w:rsidR="00AC01BD" w:rsidTr="00AC01BD">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AC01BD">
              <w:tc>
                <w:tcPr>
                  <w:tcW w:w="7650" w:type="dxa"/>
                  <w:shd w:val="clear" w:color="auto" w:fill="EEEEEE"/>
                  <w:tcMar>
                    <w:top w:w="225" w:type="dxa"/>
                    <w:left w:w="225" w:type="dxa"/>
                    <w:bottom w:w="225" w:type="dxa"/>
                    <w:right w:w="225" w:type="dxa"/>
                  </w:tcMar>
                  <w:vAlign w:val="center"/>
                  <w:hideMark/>
                </w:tcPr>
                <w:p w:rsidR="00AC01BD" w:rsidRDefault="00AC01BD">
                  <w:pPr>
                    <w:rPr>
                      <w:rFonts w:eastAsia="Times New Roman"/>
                    </w:rPr>
                  </w:pPr>
                  <w:r>
                    <w:rPr>
                      <w:rFonts w:ascii="Arial" w:eastAsia="Times New Roman" w:hAnsi="Arial" w:cs="Arial"/>
                      <w:color w:val="444444"/>
                      <w:sz w:val="21"/>
                      <w:szCs w:val="21"/>
                    </w:rPr>
                    <w:t xml:space="preserve">Риски: работа по совместительству в течение одного месяца не должна превышать половину месячной нормы рабочего времени, установленной для соответствующей категории работников. </w:t>
                  </w:r>
                </w:p>
              </w:tc>
            </w:tr>
          </w:tbl>
          <w:p w:rsidR="00AC01BD" w:rsidRDefault="00AC01BD">
            <w:pPr>
              <w:rPr>
                <w:rFonts w:eastAsia="Times New Roman"/>
                <w:sz w:val="20"/>
                <w:szCs w:val="20"/>
              </w:rPr>
            </w:pPr>
          </w:p>
        </w:tc>
      </w:tr>
      <w:tr w:rsidR="00AC01BD" w:rsidTr="00AC01BD">
        <w:trPr>
          <w:jc w:val="center"/>
        </w:trPr>
        <w:tc>
          <w:tcPr>
            <w:tcW w:w="9007" w:type="dxa"/>
            <w:shd w:val="clear" w:color="auto" w:fill="FFFFFF"/>
            <w:tcMar>
              <w:top w:w="300" w:type="dxa"/>
              <w:left w:w="450" w:type="dxa"/>
              <w:bottom w:w="300" w:type="dxa"/>
              <w:right w:w="450" w:type="dxa"/>
            </w:tcMar>
            <w:vAlign w:val="center"/>
            <w:hideMark/>
          </w:tcPr>
          <w:p w:rsidR="00AC01BD" w:rsidRDefault="00AC01BD">
            <w:pPr>
              <w:spacing w:line="270" w:lineRule="atLeast"/>
              <w:rPr>
                <w:rFonts w:ascii="Arial" w:eastAsia="Times New Roman" w:hAnsi="Arial" w:cs="Arial"/>
                <w:color w:val="444444"/>
                <w:sz w:val="21"/>
                <w:szCs w:val="21"/>
              </w:rPr>
            </w:pPr>
            <w:r>
              <w:rPr>
                <w:noProof/>
              </w:rPr>
              <w:drawing>
                <wp:anchor distT="0" distB="0" distL="142875" distR="142875" simplePos="0" relativeHeight="251664384" behindDoc="0" locked="0" layoutInCell="1" allowOverlap="0" wp14:anchorId="74BBBA04" wp14:editId="60DC14A7">
                  <wp:simplePos x="0" y="0"/>
                  <wp:positionH relativeFrom="column">
                    <wp:align>left</wp:align>
                  </wp:positionH>
                  <wp:positionV relativeFrom="line">
                    <wp:posOffset>0</wp:posOffset>
                  </wp:positionV>
                  <wp:extent cx="1190625" cy="800100"/>
                  <wp:effectExtent l="0" t="0" r="9525" b="0"/>
                  <wp:wrapSquare wrapText="bothSides"/>
                  <wp:docPr id="7" name="Рисунок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AC01BD" w:rsidRDefault="00AC01BD">
            <w:pPr>
              <w:pStyle w:val="a4"/>
              <w:spacing w:line="270" w:lineRule="atLeast"/>
              <w:rPr>
                <w:rFonts w:ascii="Arial" w:hAnsi="Arial" w:cs="Arial"/>
                <w:color w:val="444444"/>
                <w:sz w:val="21"/>
                <w:szCs w:val="21"/>
              </w:rPr>
            </w:pPr>
            <w:r>
              <w:rPr>
                <w:rFonts w:ascii="Calibri" w:hAnsi="Calibri" w:cs="Arial"/>
                <w:color w:val="444444"/>
                <w:sz w:val="22"/>
                <w:szCs w:val="22"/>
              </w:rPr>
              <w:t xml:space="preserve">В </w:t>
            </w:r>
            <w:hyperlink r:id="rId46" w:history="1">
              <w:r>
                <w:rPr>
                  <w:rStyle w:val="a3"/>
                  <w:color w:val="0000FF"/>
                </w:rPr>
                <w:t>консультации</w:t>
              </w:r>
            </w:hyperlink>
            <w:r>
              <w:rPr>
                <w:rFonts w:ascii="Calibri" w:hAnsi="Calibri" w:cs="Arial"/>
                <w:color w:val="444444"/>
                <w:sz w:val="22"/>
                <w:szCs w:val="22"/>
              </w:rPr>
              <w:t xml:space="preserve"> в СПС КонсультантПлюс разъясняется, имеет ли возможность сотрудница, которая воспитывает ребенка в возрасте до трех лет и при этом не получает пособия по уходу за ребенком, работать по совместительству.</w:t>
            </w:r>
          </w:p>
          <w:p w:rsidR="00AC01BD" w:rsidRDefault="00AC01BD">
            <w:pPr>
              <w:pStyle w:val="a4"/>
              <w:spacing w:line="270" w:lineRule="atLeast"/>
              <w:rPr>
                <w:rFonts w:ascii="Arial" w:hAnsi="Arial" w:cs="Arial"/>
                <w:color w:val="444444"/>
                <w:sz w:val="21"/>
                <w:szCs w:val="21"/>
              </w:rPr>
            </w:pPr>
            <w:r>
              <w:rPr>
                <w:rFonts w:ascii="Calibri" w:hAnsi="Calibri" w:cs="Arial"/>
                <w:color w:val="444444"/>
                <w:sz w:val="22"/>
                <w:szCs w:val="22"/>
              </w:rPr>
              <w:t xml:space="preserve">Согласно </w:t>
            </w:r>
            <w:hyperlink r:id="rId47" w:history="1">
              <w:r>
                <w:rPr>
                  <w:rStyle w:val="a3"/>
                  <w:color w:val="0000FF"/>
                </w:rPr>
                <w:t>ч. 1 ст. 282</w:t>
              </w:r>
            </w:hyperlink>
            <w:r>
              <w:rPr>
                <w:rFonts w:ascii="Calibri" w:hAnsi="Calibri" w:cs="Arial"/>
                <w:color w:val="444444"/>
                <w:sz w:val="22"/>
                <w:szCs w:val="22"/>
              </w:rPr>
              <w:t xml:space="preserve"> ТК РФ совместительство – это выполнение работником другой регулярной оплачиваемой работы на условиях трудового договора в свободное от основной работы время.</w:t>
            </w:r>
          </w:p>
          <w:p w:rsidR="00AC01BD" w:rsidRDefault="00AC01BD">
            <w:pPr>
              <w:pStyle w:val="a4"/>
              <w:spacing w:line="270" w:lineRule="atLeast"/>
              <w:rPr>
                <w:rFonts w:ascii="Arial" w:hAnsi="Arial" w:cs="Arial"/>
                <w:color w:val="444444"/>
                <w:sz w:val="21"/>
                <w:szCs w:val="21"/>
              </w:rPr>
            </w:pPr>
            <w:r>
              <w:rPr>
                <w:rFonts w:ascii="Calibri" w:hAnsi="Calibri" w:cs="Arial"/>
                <w:color w:val="444444"/>
                <w:sz w:val="22"/>
                <w:szCs w:val="22"/>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 (</w:t>
            </w:r>
            <w:hyperlink r:id="rId48" w:history="1">
              <w:r>
                <w:rPr>
                  <w:rStyle w:val="a3"/>
                  <w:color w:val="0000FF"/>
                </w:rPr>
                <w:t>ч. 2 ст. 282</w:t>
              </w:r>
            </w:hyperlink>
            <w:r>
              <w:rPr>
                <w:rFonts w:ascii="Calibri" w:hAnsi="Calibri" w:cs="Arial"/>
                <w:color w:val="444444"/>
                <w:sz w:val="22"/>
                <w:szCs w:val="22"/>
              </w:rPr>
              <w:t xml:space="preserve"> ТК РФ).</w:t>
            </w:r>
          </w:p>
          <w:p w:rsidR="00AC01BD" w:rsidRDefault="00AC01BD">
            <w:pPr>
              <w:pStyle w:val="a4"/>
              <w:spacing w:line="270" w:lineRule="atLeast"/>
              <w:rPr>
                <w:rFonts w:ascii="Arial" w:hAnsi="Arial" w:cs="Arial"/>
                <w:color w:val="444444"/>
                <w:sz w:val="21"/>
                <w:szCs w:val="21"/>
              </w:rPr>
            </w:pPr>
            <w:r>
              <w:rPr>
                <w:rFonts w:ascii="Calibri" w:hAnsi="Calibri" w:cs="Arial"/>
                <w:color w:val="444444"/>
                <w:sz w:val="22"/>
                <w:szCs w:val="22"/>
              </w:rPr>
              <w:t>Работа по совместительству может выполняться работником как по месту его основной работы, так и у других работодателей (</w:t>
            </w:r>
            <w:hyperlink r:id="rId49" w:history="1">
              <w:r>
                <w:rPr>
                  <w:rStyle w:val="a3"/>
                  <w:color w:val="0000FF"/>
                </w:rPr>
                <w:t>ч. 3 ст. 282</w:t>
              </w:r>
            </w:hyperlink>
            <w:r>
              <w:rPr>
                <w:rFonts w:ascii="Calibri" w:hAnsi="Calibri" w:cs="Arial"/>
                <w:color w:val="444444"/>
                <w:sz w:val="22"/>
                <w:szCs w:val="22"/>
              </w:rPr>
              <w:t xml:space="preserve"> ТК РФ).</w:t>
            </w:r>
          </w:p>
          <w:p w:rsidR="00AC01BD" w:rsidRDefault="00AC01BD">
            <w:pPr>
              <w:pStyle w:val="a4"/>
              <w:spacing w:line="270" w:lineRule="atLeast"/>
              <w:rPr>
                <w:rFonts w:ascii="Arial" w:hAnsi="Arial" w:cs="Arial"/>
                <w:color w:val="444444"/>
                <w:sz w:val="21"/>
                <w:szCs w:val="21"/>
              </w:rPr>
            </w:pPr>
            <w:r>
              <w:rPr>
                <w:rFonts w:ascii="Calibri" w:hAnsi="Calibri" w:cs="Arial"/>
                <w:color w:val="444444"/>
                <w:sz w:val="22"/>
                <w:szCs w:val="22"/>
              </w:rPr>
              <w:t xml:space="preserve">В соответствии с </w:t>
            </w:r>
            <w:hyperlink r:id="rId50" w:history="1">
              <w:r>
                <w:rPr>
                  <w:rStyle w:val="a3"/>
                  <w:color w:val="0000FF"/>
                </w:rPr>
                <w:t>ч. 1 ст. 284</w:t>
              </w:r>
            </w:hyperlink>
            <w:r>
              <w:rPr>
                <w:rFonts w:ascii="Calibri" w:hAnsi="Calibri" w:cs="Arial"/>
                <w:color w:val="444444"/>
                <w:sz w:val="22"/>
                <w:szCs w:val="22"/>
              </w:rPr>
              <w:t xml:space="preserve"> ТК РФ продолжительность рабочего времени при работе по совместительству не должна превышать четыре часа в день. </w:t>
            </w:r>
          </w:p>
          <w:p w:rsidR="00AC01BD" w:rsidRDefault="00AC01BD">
            <w:pPr>
              <w:pStyle w:val="a4"/>
              <w:spacing w:line="270" w:lineRule="atLeast"/>
              <w:rPr>
                <w:rFonts w:ascii="Arial" w:hAnsi="Arial" w:cs="Arial"/>
                <w:color w:val="444444"/>
                <w:sz w:val="21"/>
                <w:szCs w:val="21"/>
              </w:rPr>
            </w:pPr>
            <w:r>
              <w:rPr>
                <w:rFonts w:ascii="Calibri" w:hAnsi="Calibri" w:cs="Arial"/>
                <w:color w:val="444444"/>
                <w:sz w:val="22"/>
                <w:szCs w:val="22"/>
              </w:rPr>
              <w:t>В течение одного месяца (другого учетного периода) продолжительность рабочего времени при работе по совместительству не должна превышать половину месячной нормы рабочего времени (нормы рабочего времени за другой учетный период), установленной для соответствующей категории работников.</w:t>
            </w:r>
          </w:p>
          <w:p w:rsidR="00AC01BD" w:rsidRDefault="00AC01BD">
            <w:pPr>
              <w:pStyle w:val="a4"/>
              <w:spacing w:line="270" w:lineRule="atLeast"/>
              <w:rPr>
                <w:rFonts w:ascii="Arial" w:hAnsi="Arial" w:cs="Arial"/>
                <w:color w:val="444444"/>
                <w:sz w:val="21"/>
                <w:szCs w:val="21"/>
              </w:rPr>
            </w:pPr>
            <w:r>
              <w:rPr>
                <w:rFonts w:ascii="Calibri" w:hAnsi="Calibri" w:cs="Arial"/>
                <w:color w:val="444444"/>
                <w:sz w:val="22"/>
                <w:szCs w:val="22"/>
              </w:rPr>
              <w:t>Таким образом, совместитель (мама ребенка, не достигшего трех лет) может работать полный рабочий день, но работа по совместительству в течение одного месяца не должна превышать половину месячной нормы рабочего времени, установленной для соответствующей категории работников.</w:t>
            </w:r>
          </w:p>
        </w:tc>
      </w:tr>
      <w:tr w:rsidR="00AC01BD" w:rsidTr="00AC01BD">
        <w:trPr>
          <w:jc w:val="center"/>
        </w:trPr>
        <w:tc>
          <w:tcPr>
            <w:tcW w:w="9007" w:type="dxa"/>
            <w:shd w:val="clear" w:color="auto" w:fill="FFFFFF"/>
            <w:tcMar>
              <w:top w:w="0" w:type="dxa"/>
              <w:left w:w="375" w:type="dxa"/>
              <w:bottom w:w="0" w:type="dxa"/>
              <w:right w:w="375" w:type="dxa"/>
            </w:tcMar>
            <w:vAlign w:val="center"/>
            <w:hideMark/>
          </w:tcPr>
          <w:p w:rsidR="00AC01BD" w:rsidRDefault="00AC01BD">
            <w:pPr>
              <w:jc w:val="center"/>
              <w:rPr>
                <w:rFonts w:eastAsia="Times New Roman"/>
              </w:rPr>
            </w:pPr>
            <w:r>
              <w:rPr>
                <w:rFonts w:eastAsia="Times New Roman"/>
              </w:rPr>
              <w:pict>
                <v:rect id="_x0000_i1030" style="width:467.75pt;height:.75pt" o:hralign="center" o:hrstd="t" o:hr="t" fillcolor="gray" stroked="f"/>
              </w:pict>
            </w:r>
          </w:p>
        </w:tc>
      </w:tr>
      <w:tr w:rsidR="00AC01BD" w:rsidTr="00AC01BD">
        <w:trPr>
          <w:jc w:val="center"/>
        </w:trPr>
        <w:tc>
          <w:tcPr>
            <w:tcW w:w="9007" w:type="dxa"/>
            <w:shd w:val="clear" w:color="auto" w:fill="FFFFFF"/>
            <w:tcMar>
              <w:top w:w="300" w:type="dxa"/>
              <w:left w:w="450" w:type="dxa"/>
              <w:bottom w:w="150" w:type="dxa"/>
              <w:right w:w="450" w:type="dxa"/>
            </w:tcMar>
            <w:vAlign w:val="center"/>
            <w:hideMark/>
          </w:tcPr>
          <w:p w:rsidR="00AC01BD" w:rsidRDefault="00AC01BD">
            <w:pPr>
              <w:rPr>
                <w:rFonts w:eastAsia="Times New Roman"/>
              </w:rPr>
            </w:pPr>
            <w:hyperlink r:id="rId51" w:tgtFrame="_blank" w:history="1">
              <w:r>
                <w:rPr>
                  <w:rStyle w:val="a3"/>
                  <w:rFonts w:eastAsia="Times New Roman"/>
                  <w:b/>
                  <w:bCs/>
                  <w:color w:val="555555"/>
                  <w:sz w:val="27"/>
                  <w:szCs w:val="27"/>
                  <w:u w:val="none"/>
                </w:rPr>
                <w:t xml:space="preserve">По какому виду расходов и по какому КОСГУ следует отразить операцию по оплате имущественного взноса в автономную некоммерческую организацию? </w:t>
              </w:r>
            </w:hyperlink>
          </w:p>
        </w:tc>
      </w:tr>
      <w:tr w:rsidR="00AC01BD" w:rsidTr="00AC01BD">
        <w:trPr>
          <w:jc w:val="center"/>
        </w:trPr>
        <w:tc>
          <w:tcPr>
            <w:tcW w:w="9007"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AC01BD">
              <w:tc>
                <w:tcPr>
                  <w:tcW w:w="7650" w:type="dxa"/>
                  <w:shd w:val="clear" w:color="auto" w:fill="EEEEEE"/>
                  <w:tcMar>
                    <w:top w:w="225" w:type="dxa"/>
                    <w:left w:w="225" w:type="dxa"/>
                    <w:bottom w:w="225" w:type="dxa"/>
                    <w:right w:w="225" w:type="dxa"/>
                  </w:tcMar>
                  <w:vAlign w:val="center"/>
                  <w:hideMark/>
                </w:tcPr>
                <w:p w:rsidR="00AC01BD" w:rsidRDefault="00AC01BD">
                  <w:pPr>
                    <w:rPr>
                      <w:rFonts w:eastAsia="Times New Roman"/>
                    </w:rPr>
                  </w:pPr>
                  <w:r>
                    <w:rPr>
                      <w:rFonts w:ascii="Arial" w:eastAsia="Times New Roman" w:hAnsi="Arial" w:cs="Arial"/>
                      <w:color w:val="444444"/>
                      <w:sz w:val="21"/>
                      <w:szCs w:val="21"/>
                    </w:rPr>
                    <w:t xml:space="preserve">Риски: отразить операцию по оплате имущественного взноса в автономную некоммерческую организацию, учредителем которой является ГБУ, следует по КОСГУ 297 «Иные выплаты текущего характера организациям» КВР 853 </w:t>
                  </w:r>
                  <w:r>
                    <w:rPr>
                      <w:rFonts w:ascii="Arial" w:eastAsia="Times New Roman" w:hAnsi="Arial" w:cs="Arial"/>
                      <w:color w:val="444444"/>
                      <w:sz w:val="21"/>
                      <w:szCs w:val="21"/>
                    </w:rPr>
                    <w:lastRenderedPageBreak/>
                    <w:t xml:space="preserve">«Уплата иных платежей». </w:t>
                  </w:r>
                </w:p>
              </w:tc>
            </w:tr>
          </w:tbl>
          <w:p w:rsidR="00AC01BD" w:rsidRDefault="00AC01BD">
            <w:pPr>
              <w:rPr>
                <w:rFonts w:eastAsia="Times New Roman"/>
                <w:sz w:val="20"/>
                <w:szCs w:val="20"/>
              </w:rPr>
            </w:pPr>
          </w:p>
        </w:tc>
      </w:tr>
      <w:tr w:rsidR="00AC01BD" w:rsidTr="00AC01BD">
        <w:trPr>
          <w:jc w:val="center"/>
        </w:trPr>
        <w:tc>
          <w:tcPr>
            <w:tcW w:w="9007" w:type="dxa"/>
            <w:shd w:val="clear" w:color="auto" w:fill="FFFFFF"/>
            <w:tcMar>
              <w:top w:w="300" w:type="dxa"/>
              <w:left w:w="450" w:type="dxa"/>
              <w:bottom w:w="300" w:type="dxa"/>
              <w:right w:w="450" w:type="dxa"/>
            </w:tcMar>
            <w:vAlign w:val="center"/>
            <w:hideMark/>
          </w:tcPr>
          <w:p w:rsidR="00AC01BD" w:rsidRDefault="00AC01BD">
            <w:pPr>
              <w:spacing w:line="270" w:lineRule="atLeast"/>
              <w:rPr>
                <w:rFonts w:ascii="Arial" w:eastAsia="Times New Roman" w:hAnsi="Arial" w:cs="Arial"/>
                <w:color w:val="444444"/>
                <w:sz w:val="21"/>
                <w:szCs w:val="21"/>
              </w:rPr>
            </w:pPr>
            <w:r>
              <w:rPr>
                <w:noProof/>
              </w:rPr>
              <w:lastRenderedPageBreak/>
              <w:drawing>
                <wp:anchor distT="0" distB="0" distL="142875" distR="142875" simplePos="0" relativeHeight="251665408" behindDoc="0" locked="0" layoutInCell="1" allowOverlap="0" wp14:anchorId="2B8A524B" wp14:editId="7483C7C2">
                  <wp:simplePos x="0" y="0"/>
                  <wp:positionH relativeFrom="column">
                    <wp:align>left</wp:align>
                  </wp:positionH>
                  <wp:positionV relativeFrom="line">
                    <wp:posOffset>0</wp:posOffset>
                  </wp:positionV>
                  <wp:extent cx="1190625" cy="800100"/>
                  <wp:effectExtent l="0" t="0" r="9525" b="0"/>
                  <wp:wrapSquare wrapText="bothSides"/>
                  <wp:docPr id="8" name="Рисунок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 xml:space="preserve">​ </w:t>
            </w:r>
          </w:p>
          <w:p w:rsidR="00AC01BD" w:rsidRDefault="00AC01BD">
            <w:pPr>
              <w:pStyle w:val="a4"/>
              <w:spacing w:line="270" w:lineRule="atLeast"/>
              <w:rPr>
                <w:rFonts w:ascii="Arial" w:hAnsi="Arial" w:cs="Arial"/>
                <w:color w:val="444444"/>
                <w:sz w:val="21"/>
                <w:szCs w:val="21"/>
              </w:rPr>
            </w:pPr>
            <w:r>
              <w:rPr>
                <w:rFonts w:ascii="Calibri" w:hAnsi="Calibri" w:cs="Arial"/>
                <w:color w:val="444444"/>
                <w:sz w:val="22"/>
                <w:szCs w:val="22"/>
              </w:rPr>
              <w:t>В </w:t>
            </w:r>
            <w:hyperlink r:id="rId52" w:history="1">
              <w:r>
                <w:rPr>
                  <w:rStyle w:val="a3"/>
                  <w:color w:val="0000FF"/>
                </w:rPr>
                <w:t xml:space="preserve">Готовом решении </w:t>
              </w:r>
            </w:hyperlink>
            <w:r>
              <w:rPr>
                <w:rFonts w:ascii="Calibri" w:hAnsi="Calibri" w:cs="Arial"/>
                <w:color w:val="444444"/>
                <w:sz w:val="22"/>
                <w:szCs w:val="22"/>
              </w:rPr>
              <w:t xml:space="preserve"> «Какие расходы отражаются по подстатьям статьи 297 КОСГУ в увязке с КВР 853» в СПС КонсультантПлюс даны следующие разъяснения. В соответствии с </w:t>
            </w:r>
            <w:hyperlink r:id="rId53" w:history="1">
              <w:r>
                <w:rPr>
                  <w:rStyle w:val="a3"/>
                  <w:color w:val="0000FF"/>
                </w:rPr>
                <w:t>п. 10.9.7</w:t>
              </w:r>
            </w:hyperlink>
            <w:r>
              <w:rPr>
                <w:rFonts w:ascii="Calibri" w:hAnsi="Calibri" w:cs="Arial"/>
                <w:color w:val="444444"/>
                <w:sz w:val="22"/>
                <w:szCs w:val="22"/>
              </w:rPr>
              <w:t> Приказа Минфина России от 29.11.2017 N 209н на подстатью 297 «Иные выплаты текущего характера организациям» КОСГУ относятся расходы по осуществлению иных выплат юридическим лицам, индивидуальным предпринимателям, физическим лицам – производителям товаров, работ, услуг, не являющихся субсидиями в соответствии с бюджетным законодательством Российской Федерации, в том числе взносы за членство в организациях, кроме членских взносов в международные организации.</w:t>
            </w:r>
          </w:p>
          <w:p w:rsidR="00AC01BD" w:rsidRDefault="00AC01BD">
            <w:pPr>
              <w:pStyle w:val="a4"/>
              <w:spacing w:line="270" w:lineRule="atLeast"/>
              <w:rPr>
                <w:rFonts w:ascii="Arial" w:hAnsi="Arial" w:cs="Arial"/>
                <w:color w:val="444444"/>
                <w:sz w:val="21"/>
                <w:szCs w:val="21"/>
              </w:rPr>
            </w:pPr>
            <w:r>
              <w:rPr>
                <w:rFonts w:ascii="Calibri" w:hAnsi="Calibri" w:cs="Arial"/>
                <w:color w:val="444444"/>
                <w:sz w:val="22"/>
                <w:szCs w:val="22"/>
              </w:rPr>
              <w:t>В соответствии с п. </w:t>
            </w:r>
            <w:hyperlink r:id="rId54" w:history="1">
              <w:r>
                <w:rPr>
                  <w:rStyle w:val="a3"/>
                  <w:color w:val="0000FF"/>
                </w:rPr>
                <w:t>48.8.5.3</w:t>
              </w:r>
            </w:hyperlink>
            <w:r>
              <w:rPr>
                <w:rFonts w:ascii="Calibri" w:hAnsi="Calibri" w:cs="Arial"/>
                <w:color w:val="444444"/>
                <w:sz w:val="22"/>
                <w:szCs w:val="22"/>
              </w:rPr>
              <w:t xml:space="preserve"> Приказа Минфина России от 06.06.2019 N 85н по элементу вида расходов «853 Уплата иных платежей» отражаются расходы по уплате иных платежей, не отнесенных к другим подгруппам и элементам группы видов расходов 800 «Иные бюджетные ассигнования», в том числе в форме паевых, членских и иных взносов (за исключением взносов в международные организации).</w:t>
            </w:r>
          </w:p>
          <w:p w:rsidR="00AC01BD" w:rsidRDefault="00AC01BD">
            <w:pPr>
              <w:pStyle w:val="a4"/>
              <w:spacing w:line="270" w:lineRule="atLeast"/>
              <w:rPr>
                <w:rFonts w:ascii="Arial" w:hAnsi="Arial" w:cs="Arial"/>
                <w:color w:val="444444"/>
                <w:sz w:val="21"/>
                <w:szCs w:val="21"/>
              </w:rPr>
            </w:pPr>
            <w:r>
              <w:rPr>
                <w:rFonts w:ascii="Calibri" w:hAnsi="Calibri" w:cs="Arial"/>
                <w:color w:val="444444"/>
                <w:sz w:val="22"/>
                <w:szCs w:val="22"/>
              </w:rPr>
              <w:t xml:space="preserve">Важно правильно применять коды </w:t>
            </w:r>
            <w:hyperlink r:id="rId55" w:history="1">
              <w:r>
                <w:rPr>
                  <w:rStyle w:val="a3"/>
                  <w:color w:val="0000FF"/>
                </w:rPr>
                <w:t>КОСГУ</w:t>
              </w:r>
            </w:hyperlink>
            <w:r>
              <w:rPr>
                <w:rFonts w:ascii="Calibri" w:hAnsi="Calibri" w:cs="Arial"/>
                <w:color w:val="444444"/>
                <w:sz w:val="22"/>
                <w:szCs w:val="22"/>
              </w:rPr>
              <w:t xml:space="preserve"> и </w:t>
            </w:r>
            <w:hyperlink r:id="rId56" w:history="1">
              <w:r>
                <w:rPr>
                  <w:rStyle w:val="a3"/>
                  <w:color w:val="0000FF"/>
                </w:rPr>
                <w:t>КВР</w:t>
              </w:r>
            </w:hyperlink>
            <w:r>
              <w:rPr>
                <w:rFonts w:ascii="Calibri" w:hAnsi="Calibri" w:cs="Arial"/>
                <w:color w:val="444444"/>
                <w:sz w:val="22"/>
                <w:szCs w:val="22"/>
              </w:rPr>
              <w:t>, чтобы не допустить искажений данных бухучета и бухгалтерской (бюджетной) отчетности, за которые учреждение могут привлечь к ответственности.</w:t>
            </w:r>
            <w:r>
              <w:rPr>
                <w:rFonts w:ascii="Calibri" w:hAnsi="Calibri" w:cs="Arial"/>
                <w:color w:val="444444"/>
                <w:sz w:val="22"/>
                <w:szCs w:val="22"/>
                <w:u w:val="single"/>
              </w:rPr>
              <w:t xml:space="preserve"> </w:t>
            </w:r>
          </w:p>
        </w:tc>
      </w:tr>
      <w:tr w:rsidR="00AC01BD" w:rsidTr="00AC01BD">
        <w:trPr>
          <w:jc w:val="center"/>
        </w:trPr>
        <w:tc>
          <w:tcPr>
            <w:tcW w:w="9007" w:type="dxa"/>
            <w:shd w:val="clear" w:color="auto" w:fill="FFFFFF"/>
            <w:tcMar>
              <w:top w:w="0" w:type="dxa"/>
              <w:left w:w="375" w:type="dxa"/>
              <w:bottom w:w="0" w:type="dxa"/>
              <w:right w:w="375" w:type="dxa"/>
            </w:tcMar>
            <w:vAlign w:val="center"/>
            <w:hideMark/>
          </w:tcPr>
          <w:p w:rsidR="00AC01BD" w:rsidRDefault="00AC01BD">
            <w:pPr>
              <w:jc w:val="center"/>
              <w:rPr>
                <w:rFonts w:eastAsia="Times New Roman"/>
              </w:rPr>
            </w:pPr>
            <w:r>
              <w:rPr>
                <w:rFonts w:eastAsia="Times New Roman"/>
              </w:rPr>
              <w:pict>
                <v:rect id="_x0000_i1031" style="width:467.75pt;height:.75pt" o:hralign="center" o:hrstd="t" o:hr="t" fillcolor="gray" stroked="f"/>
              </w:pict>
            </w:r>
          </w:p>
        </w:tc>
      </w:tr>
    </w:tbl>
    <w:p w:rsidR="00813652" w:rsidRDefault="00813652">
      <w:bookmarkStart w:id="0" w:name="_GoBack"/>
      <w:bookmarkEnd w:id="0"/>
    </w:p>
    <w:sectPr w:rsidR="008136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1BD"/>
    <w:rsid w:val="00813652"/>
    <w:rsid w:val="00AC0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1B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01BD"/>
    <w:rPr>
      <w:rFonts w:ascii="Arial" w:hAnsi="Arial" w:cs="Arial" w:hint="default"/>
      <w:color w:val="00707B"/>
      <w:sz w:val="21"/>
      <w:szCs w:val="21"/>
      <w:u w:val="single"/>
    </w:rPr>
  </w:style>
  <w:style w:type="paragraph" w:styleId="a4">
    <w:name w:val="Normal (Web)"/>
    <w:basedOn w:val="a"/>
    <w:uiPriority w:val="99"/>
    <w:unhideWhenUsed/>
    <w:rsid w:val="00AC01BD"/>
  </w:style>
  <w:style w:type="character" w:customStyle="1" w:styleId="title-main">
    <w:name w:val="title-main"/>
    <w:basedOn w:val="a0"/>
    <w:rsid w:val="00AC01BD"/>
  </w:style>
  <w:style w:type="paragraph" w:styleId="a5">
    <w:name w:val="Balloon Text"/>
    <w:basedOn w:val="a"/>
    <w:link w:val="a6"/>
    <w:uiPriority w:val="99"/>
    <w:semiHidden/>
    <w:unhideWhenUsed/>
    <w:rsid w:val="00AC01BD"/>
    <w:rPr>
      <w:rFonts w:ascii="Tahoma" w:hAnsi="Tahoma" w:cs="Tahoma"/>
      <w:sz w:val="16"/>
      <w:szCs w:val="16"/>
    </w:rPr>
  </w:style>
  <w:style w:type="character" w:customStyle="1" w:styleId="a6">
    <w:name w:val="Текст выноски Знак"/>
    <w:basedOn w:val="a0"/>
    <w:link w:val="a5"/>
    <w:uiPriority w:val="99"/>
    <w:semiHidden/>
    <w:rsid w:val="00AC01BD"/>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1B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01BD"/>
    <w:rPr>
      <w:rFonts w:ascii="Arial" w:hAnsi="Arial" w:cs="Arial" w:hint="default"/>
      <w:color w:val="00707B"/>
      <w:sz w:val="21"/>
      <w:szCs w:val="21"/>
      <w:u w:val="single"/>
    </w:rPr>
  </w:style>
  <w:style w:type="paragraph" w:styleId="a4">
    <w:name w:val="Normal (Web)"/>
    <w:basedOn w:val="a"/>
    <w:uiPriority w:val="99"/>
    <w:unhideWhenUsed/>
    <w:rsid w:val="00AC01BD"/>
  </w:style>
  <w:style w:type="character" w:customStyle="1" w:styleId="title-main">
    <w:name w:val="title-main"/>
    <w:basedOn w:val="a0"/>
    <w:rsid w:val="00AC01BD"/>
  </w:style>
  <w:style w:type="paragraph" w:styleId="a5">
    <w:name w:val="Balloon Text"/>
    <w:basedOn w:val="a"/>
    <w:link w:val="a6"/>
    <w:uiPriority w:val="99"/>
    <w:semiHidden/>
    <w:unhideWhenUsed/>
    <w:rsid w:val="00AC01BD"/>
    <w:rPr>
      <w:rFonts w:ascii="Tahoma" w:hAnsi="Tahoma" w:cs="Tahoma"/>
      <w:sz w:val="16"/>
      <w:szCs w:val="16"/>
    </w:rPr>
  </w:style>
  <w:style w:type="character" w:customStyle="1" w:styleId="a6">
    <w:name w:val="Текст выноски Знак"/>
    <w:basedOn w:val="a0"/>
    <w:link w:val="a5"/>
    <w:uiPriority w:val="99"/>
    <w:semiHidden/>
    <w:rsid w:val="00AC01BD"/>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16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main?base=KSOJ007;n=23467;dst=100028" TargetMode="External"/><Relationship Id="rId18" Type="http://schemas.openxmlformats.org/officeDocument/2006/relationships/image" Target="media/image3.jpeg"/><Relationship Id="rId26" Type="http://schemas.openxmlformats.org/officeDocument/2006/relationships/hyperlink" Target="consultantplus://offline/ref=main?base=PNPA;n=68316;dst=100117" TargetMode="External"/><Relationship Id="rId39" Type="http://schemas.openxmlformats.org/officeDocument/2006/relationships/hyperlink" Target="consultantplus://offline/ref=6E09E9FD4F3516D0059429368FC84AAB77EFC37DA0BDB7A4070D26813B70B70D3274177B24CDACD81A70F63D33C7C63DF6338D108425087Eg51AL" TargetMode="External"/><Relationship Id="rId21" Type="http://schemas.openxmlformats.org/officeDocument/2006/relationships/hyperlink" Target="consultantplus://offline/ref=30368B71F5BA00BCDDCD3811965324E41B905B050516A37278D519649AB64173CB29F52BAEAE66E85CA3CB7053580D21FF339E48890680D849CAV05EK" TargetMode="External"/><Relationship Id="rId34" Type="http://schemas.openxmlformats.org/officeDocument/2006/relationships/hyperlink" Target="consultantplus://offline/ref=5145B36DF16BB9FE50CF4FA26712AF71EAE3BEC14DD383800F7A649C5AB7F185F55409239709F9B1E39F48700219011954412355F53966867ER9L" TargetMode="External"/><Relationship Id="rId42" Type="http://schemas.openxmlformats.org/officeDocument/2006/relationships/hyperlink" Target="consultantplus://offline/ref=E8DD051896EE3077FB2DBE904E53FCF506FECA20878B468FD909925347308825B81CAF05A201E9CAEADC5FCB0AA3DD5E36BBB7D2AD11478DTD46L" TargetMode="External"/><Relationship Id="rId47" Type="http://schemas.openxmlformats.org/officeDocument/2006/relationships/hyperlink" Target="consultantplus://offline/ref=6E76DE24FBDE7BB0E6E127726C12F7572CEF42F540B88AEA68D57D12952BC2590331881AE88E2618D362D5F32E9F02E9A928C98A34D75AE4zEl8U" TargetMode="External"/><Relationship Id="rId50" Type="http://schemas.openxmlformats.org/officeDocument/2006/relationships/hyperlink" Target="consultantplus://offline/ref=7C513AFDF7D2BFA6869A568CAA31791253FD5B98EBF135F2ED72AABE0BDDC063C16F7166752D236D13C17015078317BC9F77ECE57F37xBm5U" TargetMode="External"/><Relationship Id="rId55" Type="http://schemas.openxmlformats.org/officeDocument/2006/relationships/hyperlink" Target="consultantplus://offline/ref=4A3C4006AA7DB1AC3A60B681815A99A3EB689A6297B696CFCB905AF7EEFC59A8C4D20ADB5DCB2BB5664F443F168E7DAFFCE84F524197D678J5B4N" TargetMode="External"/><Relationship Id="rId7" Type="http://schemas.openxmlformats.org/officeDocument/2006/relationships/hyperlink" Target="consultantplus://offline/ref=23116EB46B18B0566AE38082865096A9A7035B2E094E149F0A14A56E9C7627C1FA0E98B2473632118999640B364DD15F994DA1708D549E2B7F143372qCI" TargetMode="External"/><Relationship Id="rId12" Type="http://schemas.openxmlformats.org/officeDocument/2006/relationships/hyperlink" Target="consultantplus://offline/ref=main?base=LAW;n=366153;dst=100378" TargetMode="External"/><Relationship Id="rId17" Type="http://schemas.openxmlformats.org/officeDocument/2006/relationships/hyperlink" Target="http://work.elcode.ru/subscribe/link/?hash=f62901c9056186b0d181c2a290ea272a&amp;id_send=16735&amp;id_email=9075994&amp;url=https%3A%2F%2Flogin.consultant.ru%2Flink%2F%3Freq%3Ddoc%26base%3DLAW%26n%3D36589%26dst%3D1000000275&amp;uid_news=1034012&amp;cli=" TargetMode="External"/><Relationship Id="rId25" Type="http://schemas.openxmlformats.org/officeDocument/2006/relationships/hyperlink" Target="consultantplus://offline/ref=main?base=LAW;n=362627;dst=0" TargetMode="External"/><Relationship Id="rId33" Type="http://schemas.openxmlformats.org/officeDocument/2006/relationships/hyperlink" Target="http://work.elcode.ru/subscribe/link/?hash=f62901c9056186b0d181c2a290ea272a&amp;id_send=16735&amp;id_email=9075994&amp;url=https%3A%2F%2Flogin.consultant.ru%2Flink%2F%3Freq%3Ddoc%26amp%3Bbase%3DLAW%26amp%3Bn%3D378195%26amp%3Bdst%3D100001%26amp%3Bdate%3D11.03.2021&amp;uid_news=1034008&amp;cli=" TargetMode="External"/><Relationship Id="rId38" Type="http://schemas.openxmlformats.org/officeDocument/2006/relationships/hyperlink" Target="consultantplus://offline/ref=A2C902ED7798EC76D270349838238ECBD71F58E61DD146E503F6A373B864CB2F2F18AE5857DB63B4DF1B3864C4FB3B2753614A1CDF4B6D22zByBL" TargetMode="External"/><Relationship Id="rId46" Type="http://schemas.openxmlformats.org/officeDocument/2006/relationships/hyperlink" Target="http://work.elcode.ru/subscribe/link/?hash=f62901c9056186b0d181c2a290ea272a&amp;id_send=16735&amp;id_email=9075994&amp;url=https%3A%2F%2Flogin.consultant.ru%2Flink%2F%3Freq%3Ddoc%26amp%3Bbase%3DPBI%26amp%3Bn%3D276260%26amp%3Bdst%3D100002&amp;uid_news=1033854&amp;cli=" TargetMode="External"/><Relationship Id="rId2" Type="http://schemas.microsoft.com/office/2007/relationships/stylesWithEffects" Target="stylesWithEffects.xml"/><Relationship Id="rId16" Type="http://schemas.openxmlformats.org/officeDocument/2006/relationships/hyperlink" Target="consultantplus://offline/ref=23116EB46B18B0566AE38082865096A9A7035B2E094E149F0A14A56E9C7627C1FA0E98B2473632118999640B364DD15F994DA1708D549E2B7F143372qCI" TargetMode="External"/><Relationship Id="rId20" Type="http://schemas.openxmlformats.org/officeDocument/2006/relationships/hyperlink" Target="consultantplus://offline/ref=30368B71F5BA00BCDDCD3811965324E41B905B050516A37278D519649AB64173CB29F52BAEAE66E85CA3CB7053580D21FF339E48890680D849CAV05EK" TargetMode="External"/><Relationship Id="rId29" Type="http://schemas.openxmlformats.org/officeDocument/2006/relationships/hyperlink" Target="consultantplus://offline/ref=main?base=PNPA;n=68316;dst=100022" TargetMode="External"/><Relationship Id="rId41" Type="http://schemas.openxmlformats.org/officeDocument/2006/relationships/hyperlink" Target="consultantplus://offline/ref=2B251069DA0D1CE1F3E64059DAAE23EA2869F931C0265213400456807FAA01B6A6D4C7141DE37BF0C006382C7F8C2E1E8D76F7CE4Fw836L" TargetMode="External"/><Relationship Id="rId54" Type="http://schemas.openxmlformats.org/officeDocument/2006/relationships/hyperlink" Target="consultantplus://offline/ref=C9CD7B03F09A3C0FCE8D62EE3B1FA9EF7001CF055F5E17D2CA93FF309E161587C8BCD30B6D5EFA5F9486E1FF6407A9564B45E8CAC8762F375169M" TargetMode="External"/><Relationship Id="rId1" Type="http://schemas.openxmlformats.org/officeDocument/2006/relationships/styles" Target="styles.xml"/><Relationship Id="rId6" Type="http://schemas.openxmlformats.org/officeDocument/2006/relationships/image" Target="cid:e70795211d076f0f4f00c01e1729dc36@swift.generated" TargetMode="External"/><Relationship Id="rId11" Type="http://schemas.openxmlformats.org/officeDocument/2006/relationships/hyperlink" Target="consultantplus://offline/ref=main?base=LAW;n=366153;dst=100866" TargetMode="External"/><Relationship Id="rId24" Type="http://schemas.openxmlformats.org/officeDocument/2006/relationships/hyperlink" Target="consultantplus://offline/ref=main?base=PNPA;n=68316;dst=0" TargetMode="External"/><Relationship Id="rId32" Type="http://schemas.openxmlformats.org/officeDocument/2006/relationships/image" Target="media/image5.jpeg"/><Relationship Id="rId37" Type="http://schemas.openxmlformats.org/officeDocument/2006/relationships/image" Target="media/image6.jpeg"/><Relationship Id="rId40" Type="http://schemas.openxmlformats.org/officeDocument/2006/relationships/hyperlink" Target="consultantplus://offline/ref=2061D2548521DA52071E5B77551DD6FEB65422C73D124719D9F26DF26BA01AA956F46DEB458549217FBC86FEB409DC69F8182564mC25L" TargetMode="External"/><Relationship Id="rId45" Type="http://schemas.openxmlformats.org/officeDocument/2006/relationships/image" Target="media/image7.jpeg"/><Relationship Id="rId53" Type="http://schemas.openxmlformats.org/officeDocument/2006/relationships/hyperlink" Target="consultantplus://offline/ref=17BA35962AE0822EE75BD70035F29922F7BA4656CC62E4622139EB574A80E93B5A04361362D3BA388ABA6CE5E0CDF3BA281F37C1EBZAA3N" TargetMode="External"/><Relationship Id="rId58"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main?base=KSOJ007;n=23467;dst=100034" TargetMode="External"/><Relationship Id="rId23" Type="http://schemas.openxmlformats.org/officeDocument/2006/relationships/image" Target="media/image4.jpeg"/><Relationship Id="rId28" Type="http://schemas.openxmlformats.org/officeDocument/2006/relationships/hyperlink" Target="consultantplus://offline/ref=main?base=PNPA;n=68316;dst=100101" TargetMode="External"/><Relationship Id="rId36" Type="http://schemas.openxmlformats.org/officeDocument/2006/relationships/hyperlink" Target="http://work.elcode.ru/subscribe/link/?hash=f62901c9056186b0d181c2a290ea272a&amp;id_send=16735&amp;id_email=9075994&amp;url=https%3A%2F%2Flogin.consultant.ru%2Flink%2F%3Freq%3Ddoc%26base%3DPRJ%26n%3D204921%26dst%3D100004&amp;uid_news=1033874&amp;cli=" TargetMode="External"/><Relationship Id="rId49" Type="http://schemas.openxmlformats.org/officeDocument/2006/relationships/hyperlink" Target="consultantplus://offline/ref=6E76DE24FBDE7BB0E6E127726C12F7572CEF42F540B88AEA68D57D12952BC2590331881AE88620138738C5F767CA06F7A035D78B2AD7z5lBU" TargetMode="External"/><Relationship Id="rId57" Type="http://schemas.openxmlformats.org/officeDocument/2006/relationships/fontTable" Target="fontTable.xml"/><Relationship Id="rId10" Type="http://schemas.openxmlformats.org/officeDocument/2006/relationships/hyperlink" Target="consultantplus://offline/ref=main?base=KSOJ007;n=23467;dst=100023" TargetMode="External"/><Relationship Id="rId19" Type="http://schemas.openxmlformats.org/officeDocument/2006/relationships/hyperlink" Target="http://work.elcode.ru/subscribe/link/?hash=f62901c9056186b0d181c2a290ea272a&amp;id_send=16735&amp;id_email=9075994&amp;url=https%3A%2F%2Flogin.consultant.ru%2Flink%2F%3Freq%3Ddoc%26amp%3Bbase%3DLAW%26amp%3Bn%3D36589%26amp%3Bdst%3D1000000275&amp;uid_news=1034012&amp;cli=" TargetMode="External"/><Relationship Id="rId31" Type="http://schemas.openxmlformats.org/officeDocument/2006/relationships/hyperlink" Target="http://work.elcode.ru/subscribe/link/?hash=f62901c9056186b0d181c2a290ea272a&amp;id_send=16735&amp;id_email=9075994&amp;url=https%3A%2F%2Flogin.consultant.ru%2Flink%2F%3Freq%3Ddoc%26base%3DLAW%26n%3D378195%26dst%3D1000000005&amp;uid_news=1034008&amp;cli=" TargetMode="External"/><Relationship Id="rId44" Type="http://schemas.openxmlformats.org/officeDocument/2006/relationships/hyperlink" Target="http://work.elcode.ru/subscribe/link/?hash=f62901c9056186b0d181c2a290ea272a&amp;id_send=16735&amp;id_email=9075994&amp;url=https%3A%2F%2Flogin.consultant.ru%2Flink%2F%3Freq%3Ddoc%26base%3DPBI%26n%3D276260%26dst%3D100002&amp;uid_news=1033854&amp;cli=" TargetMode="External"/><Relationship Id="rId52" Type="http://schemas.openxmlformats.org/officeDocument/2006/relationships/hyperlink" Target="consultantplus://offline/ref=883A357B75B4498DEDB4794653142DDF0E0AC2E1E5D894DC8407B7EEC2C81B00D0D7E0186B32655C386C1D74BAE1C4AB04268613394A8EA7iBv7M" TargetMode="External"/><Relationship Id="rId4" Type="http://schemas.openxmlformats.org/officeDocument/2006/relationships/webSettings" Target="webSettings.xml"/><Relationship Id="rId9" Type="http://schemas.openxmlformats.org/officeDocument/2006/relationships/hyperlink" Target="consultantplus://offline/ref=23116EB46B18B0566AE38082865096A9A7035B2E094E149F0A14A56E9C7627C1FA0E98B2473632118999640B364DD15F994DA1708D549E2B7F143372qCI" TargetMode="External"/><Relationship Id="rId14" Type="http://schemas.openxmlformats.org/officeDocument/2006/relationships/hyperlink" Target="consultantplus://offline/ref=main?base=KSOJ007;n=23467;dst=100032" TargetMode="External"/><Relationship Id="rId22" Type="http://schemas.openxmlformats.org/officeDocument/2006/relationships/hyperlink" Target="http://work.elcode.ru/subscribe/link/?hash=f62901c9056186b0d181c2a290ea272a&amp;id_send=16735&amp;id_email=9075994&amp;url=https%3A%2F%2Flogin.consultant.ru%2Flink%2F%3Freq%3Ddoc%26base%3DPNPA%26n%3D68316%26dst%3D100015&amp;uid_news=1034010&amp;cli=" TargetMode="External"/><Relationship Id="rId27" Type="http://schemas.openxmlformats.org/officeDocument/2006/relationships/hyperlink" Target="consultantplus://offline/ref=main?base=PNPA;n=68316;dst=100017" TargetMode="External"/><Relationship Id="rId30" Type="http://schemas.openxmlformats.org/officeDocument/2006/relationships/hyperlink" Target="consultantplus://offline/ref=B3C1D7E997A5701A0D995C5A7AEC43F6EC44A92DC710C1B1ECB7F054D434100A5037392D9CFE2C255B37429D7A88E1E09DFA5A23B753B5D5TCF4L" TargetMode="External"/><Relationship Id="rId35" Type="http://schemas.openxmlformats.org/officeDocument/2006/relationships/hyperlink" Target="consultantplus://offline/ref=559AD1B220A9C66447EF2D8E241CA0D0BC7FAB453A9F138AE5A26B68FA1053CED53C60B0669435CF652F9E484328BF4896AAEF3774C4422D44F7113C48V6L" TargetMode="External"/><Relationship Id="rId43" Type="http://schemas.openxmlformats.org/officeDocument/2006/relationships/hyperlink" Target="consultantplus://offline/ref=71166D3EBF31C37F6A69395B6977CE6A50547A93DE87706BE9526FBA3DDA19462A64547120D67E212C671EAE3AD524D4333981AF26uD49L" TargetMode="External"/><Relationship Id="rId48" Type="http://schemas.openxmlformats.org/officeDocument/2006/relationships/hyperlink" Target="consultantplus://offline/ref=6E76DE24FBDE7BB0E6E127726C12F7572CEF42F540B88AEA68D57D12952BC2590331881AE88E2618D262D5F32E9F02E9A928C98A34D75AE4zEl8U" TargetMode="External"/><Relationship Id="rId56" Type="http://schemas.openxmlformats.org/officeDocument/2006/relationships/hyperlink" Target="consultantplus://offline/ref=4A3C4006AA7DB1AC3A60B681815A99A3EB699F6296BC96CFCB905AF7EEFC59A8C4D20ADB5EC829B1614F443F168E7DAFFCE84F524197D678J5B4N" TargetMode="External"/><Relationship Id="rId8" Type="http://schemas.openxmlformats.org/officeDocument/2006/relationships/image" Target="media/image2.jpeg"/><Relationship Id="rId51" Type="http://schemas.openxmlformats.org/officeDocument/2006/relationships/hyperlink" Target="http://work.elcode.ru/subscribe/link/?hash=f62901c9056186b0d181c2a290ea272a&amp;id_send=16735&amp;id_email=9075994&amp;url=https%3A%2F%2Flogin.consultant.ru%2Flink%2F%3Freq%3Ddoc%26base%3DPKBO%26n%3D42352%26dst%3D100001&amp;uid_news=1033843&amp;cl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2959</Words>
  <Characters>16871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ООО "ЭЛКОД"</Company>
  <LinksUpToDate>false</LinksUpToDate>
  <CharactersWithSpaces>19791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Брилева (Скрыпникова) Екатерина Анатольевна</dc:creator>
  <cp:lastModifiedBy>Брилева (Скрыпникова) Екатерина Анатольевна</cp:lastModifiedBy>
  <cp:revision>1</cp:revision>
  <dcterms:created xsi:type="dcterms:W3CDTF">2021-03-11T13:51:00Z</dcterms:created>
  <dcterms:modified xsi:type="dcterms:W3CDTF">2021-03-11T13:51:00Z</dcterms:modified>
</cp:coreProperties>
</file>