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8"/>
      </w:tblGrid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76237" w:rsidTr="00476237">
              <w:trPr>
                <w:jc w:val="center"/>
              </w:trPr>
              <w:tc>
                <w:tcPr>
                  <w:tcW w:w="90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476237" w:rsidRDefault="0047623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title-main"/>
                      <w:rFonts w:ascii="Arial" w:eastAsia="Times New Roman" w:hAnsi="Arial" w:cs="Arial"/>
                      <w:b/>
                      <w:bCs/>
                      <w:color w:val="333333"/>
                    </w:rPr>
                    <w:t xml:space="preserve">Здравствуйте!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br/>
                  </w:r>
                  <w: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</w:tbl>
          <w:p w:rsidR="00476237" w:rsidRDefault="004762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476237" w:rsidRDefault="004762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3952DE5" wp14:editId="2D0E5CC5">
                  <wp:extent cx="5720080" cy="1233170"/>
                  <wp:effectExtent l="0" t="0" r="0" b="5080"/>
                  <wp:docPr id="1" name="Рисунок 1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76237" w:rsidRDefault="00476237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РУКОВОДИТЕЛЮ </w:t>
            </w:r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76237" w:rsidRDefault="00476237">
            <w:pPr>
              <w:rPr>
                <w:rFonts w:eastAsia="Times New Roman"/>
              </w:rPr>
            </w:pPr>
            <w:hyperlink r:id="rId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С 1 февраля 2021 года вводятся изменения в документационное обеспечение медосмотров и диспансеризации </w:t>
              </w:r>
            </w:hyperlink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76237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76237" w:rsidRDefault="004762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 1 февраля 2021 года на каждого гражданина, обратившегося в медицинскую организацию для прохождения профилактического медицинского осмотра или диспансеризации, будет заполняться новая учетная форма медицинской документации. </w:t>
                  </w:r>
                </w:p>
              </w:tc>
            </w:tr>
          </w:tbl>
          <w:p w:rsidR="00476237" w:rsidRDefault="0047623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76237" w:rsidRDefault="00476237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9264" behindDoc="0" locked="0" layoutInCell="1" allowOverlap="0" wp14:anchorId="3EE2487B" wp14:editId="0A035ED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952500"/>
                  <wp:effectExtent l="0" t="0" r="9525" b="0"/>
                  <wp:wrapSquare wrapText="bothSides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Минздрав России </w:t>
            </w:r>
            <w:hyperlink r:id="rId9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10.11.2020 № 1207н утвердил форму карты </w:t>
            </w:r>
            <w:hyperlink r:id="rId10" w:history="1">
              <w:r>
                <w:rPr>
                  <w:rStyle w:val="a3"/>
                  <w:color w:val="0000FF"/>
                </w:rPr>
                <w:t>№ 131/у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для учета профилактического медосмотра (диспансеризации), а также статформу </w:t>
            </w:r>
            <w:hyperlink r:id="rId11" w:history="1">
              <w:r>
                <w:rPr>
                  <w:rStyle w:val="a3"/>
                  <w:color w:val="0000FF"/>
                </w:rPr>
                <w:t>№ 131/о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для подачи сведений о проведении профосмотра и диспансеризации взрослых. Определены и порядки заполнения указанных документов. Новый Приказ вступает в силу с 1 февраля 2021 года и действует до 1 февраля 2027 года. 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2" w:history="1">
              <w:r>
                <w:rPr>
                  <w:rStyle w:val="a3"/>
                  <w:color w:val="0000FF"/>
                </w:rPr>
                <w:t>Приказ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Минздрава России от 06.03.2015 № 87н «Об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порядках по их заполнению» признается утратившим силу.</w:t>
            </w:r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76237" w:rsidRDefault="004762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467.75pt;height:.75pt" o:hralign="center" o:hrstd="t" o:hr="t" fillcolor="gray" stroked="f"/>
              </w:pict>
            </w:r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76237" w:rsidRDefault="00476237">
            <w:pPr>
              <w:rPr>
                <w:rFonts w:eastAsia="Times New Roman"/>
              </w:rPr>
            </w:pPr>
            <w:hyperlink r:id="rId13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Обновлена форма типового договора на оказание и оплату медицинской помощи по ОМС </w:t>
              </w:r>
            </w:hyperlink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76237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76237" w:rsidRDefault="004762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при оказании медпомощи по ОМС медицинским организациям необходимо оформлять новую форму договора. </w:t>
                  </w:r>
                </w:p>
              </w:tc>
            </w:tr>
          </w:tbl>
          <w:p w:rsidR="00476237" w:rsidRDefault="0047623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76237" w:rsidRDefault="00476237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42875" distR="142875" simplePos="0" relativeHeight="251660288" behindDoc="0" locked="0" layoutInCell="1" allowOverlap="0" wp14:anchorId="0EE15380" wp14:editId="754D1EA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42950"/>
                  <wp:effectExtent l="0" t="0" r="9525" b="0"/>
                  <wp:wrapSquare wrapText="bothSides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5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Минздрава России от 30.12.2020 № 1417н утверждена новая </w:t>
            </w:r>
            <w:hyperlink r:id="rId16" w:history="1">
              <w:r>
                <w:rPr>
                  <w:rStyle w:val="a3"/>
                  <w:color w:val="0000FF"/>
                </w:rPr>
                <w:t>форма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типового договора на оказание и оплату медицинской помощи по обязательному медицинскому страхованию.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7" w:history="1">
              <w:r>
                <w:rPr>
                  <w:rStyle w:val="a3"/>
                  <w:color w:val="0000FF"/>
                </w:rPr>
                <w:t>Форма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применяется начиная с заключения договоров на оказание и оплату медицинской помощи по обязательному медицинскому страхованию в рамках реализации территориальных программ обязательного медицинского страхования на 2021 год и плановый период 2022 и 2023 годов.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Начало действия документа – 24 января 2021 года.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Признан утратившим силу аналогичный </w:t>
            </w:r>
            <w:hyperlink r:id="rId18" w:history="1">
              <w:r>
                <w:rPr>
                  <w:rStyle w:val="a3"/>
                  <w:color w:val="0000FF"/>
                </w:rPr>
                <w:t>Приказ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Минздрава России от 24.12.2012 № 1355н.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 xml:space="preserve"> </w:t>
            </w:r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76237" w:rsidRDefault="004762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467.75pt;height:.75pt" o:hralign="center" o:hrstd="t" o:hr="t" fillcolor="gray" stroked="f"/>
              </w:pict>
            </w:r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76237" w:rsidRDefault="00476237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БУХГАЛТЕРУ </w:t>
            </w:r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76237" w:rsidRDefault="00476237">
            <w:pPr>
              <w:rPr>
                <w:rFonts w:eastAsia="Times New Roman"/>
              </w:rPr>
            </w:pPr>
            <w:hyperlink r:id="rId19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В федеральные стандарты внутреннего ГМФК внесены незначительные поправки </w:t>
              </w:r>
            </w:hyperlink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76237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76237" w:rsidRDefault="004762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при плановых контрольных мероприятиях на 2021 год будут учитываться изменения, внесенные в федстандарты по вопросам осуществления внутреннего государственного (муниципального) финансового контроля. </w:t>
                  </w:r>
                </w:p>
              </w:tc>
            </w:tr>
          </w:tbl>
          <w:p w:rsidR="00476237" w:rsidRDefault="0047623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76237" w:rsidRDefault="00476237" w:rsidP="00476237">
            <w:pPr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1312" behindDoc="0" locked="0" layoutInCell="1" allowOverlap="0" wp14:anchorId="61910FEB" wp14:editId="151C9E4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>​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21" w:history="1">
              <w:r>
                <w:rPr>
                  <w:rStyle w:val="a3"/>
                  <w:color w:val="0000FF"/>
                </w:rPr>
                <w:t>Постановлении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 РФ от 31.12.2020 № 2435 уточнены некоторые вопросы внутреннего государственного (муниципального) финансового контроля. 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br/>
              <w:t xml:space="preserve">Поправки вступили в силу с 17 января 2021 года. 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стандарте </w:t>
            </w:r>
            <w:hyperlink r:id="rId22" w:history="1">
              <w:r>
                <w:rPr>
                  <w:rStyle w:val="a3"/>
                  <w:color w:val="0000FF"/>
                </w:rPr>
                <w:t>«Планирование проверок, ревизий и обследований»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дополнен перечень типовых тем планового контроля. Теперь стали возможны проверки в отношении соцзаказа, обоснований бюджетных ассигнований, дотаций на выравнивание бюджетной обеспеченности и др.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Технические корректировки внесены в следующие стандарты: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23" w:history="1">
              <w:r>
                <w:rPr>
                  <w:rStyle w:val="a3"/>
                  <w:color w:val="0000FF"/>
                </w:rPr>
                <w:t>«Права и обязанности должностных лиц органов контроля и объектов контроля»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;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24" w:history="1">
              <w:r>
                <w:rPr>
                  <w:rStyle w:val="a3"/>
                  <w:color w:val="0000FF"/>
                </w:rPr>
                <w:t>«Проведение проверок, ревизий и обследований и оформление их результатов»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;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25" w:history="1">
              <w:r>
                <w:rPr>
                  <w:rStyle w:val="a3"/>
                  <w:color w:val="0000FF"/>
                </w:rPr>
                <w:t>«Реализация результатов проверок, ревизий и обследований»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;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26" w:history="1">
              <w:r>
                <w:rPr>
                  <w:rStyle w:val="a3"/>
                  <w:color w:val="0000FF"/>
                </w:rPr>
                <w:t>«Правила досудебного обжалования решений и действий органов контроля»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76237" w:rsidRDefault="004762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7" style="width:467.75pt;height:.75pt" o:hralign="center" o:hrstd="t" o:hr="t" fillcolor="gray" stroked="f"/>
              </w:pict>
            </w:r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76237" w:rsidRDefault="00476237">
            <w:pPr>
              <w:rPr>
                <w:rFonts w:eastAsia="Times New Roman"/>
              </w:rPr>
            </w:pPr>
            <w:hyperlink r:id="rId2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Как оформить передачу первички от ответственного лица в бухгалтерию учреждения </w:t>
              </w:r>
            </w:hyperlink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76237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76237" w:rsidRDefault="004762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оформление приема-передачи первичных учетных документов от ответственного лица в бухгалтерию необходимо осуществлять с применением Реестра сдачи документов (ф. 0504053). </w:t>
                  </w:r>
                </w:p>
              </w:tc>
            </w:tr>
          </w:tbl>
          <w:p w:rsidR="00476237" w:rsidRDefault="0047623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76237" w:rsidRDefault="00476237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42875" distR="142875" simplePos="0" relativeHeight="251662336" behindDoc="0" locked="0" layoutInCell="1" allowOverlap="0" wp14:anchorId="652605EB" wp14:editId="7EBDE2B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в </w:t>
            </w:r>
            <w:hyperlink r:id="rId29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06.11.2020 № 02-06-05/96938 напомнил, что при передаче первичных документов в бухгалтерию сотрудники учреждения </w:t>
            </w:r>
            <w:hyperlink r:id="rId30" w:history="1">
              <w:r>
                <w:rPr>
                  <w:rStyle w:val="a3"/>
                  <w:color w:val="0000FF"/>
                </w:rPr>
                <w:t>оформляют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реестр </w:t>
            </w:r>
            <w:hyperlink r:id="rId31" w:history="1">
              <w:r>
                <w:rPr>
                  <w:rStyle w:val="a3"/>
                  <w:color w:val="0000FF"/>
                </w:rPr>
                <w:t>(ф. 0504053)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двух экземплярах.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Бухгалтер проверяет, правильно ли оформлена первичка, в присутствии сотрудника, передавшего документы. Если все верно, бухгалтер подписывает реестр и возвращает второй его экземпляр сотруднику. По-другому подтверждать прием документов </w:t>
            </w:r>
            <w:hyperlink r:id="rId32" w:history="1">
              <w:r>
                <w:rPr>
                  <w:rStyle w:val="a3"/>
                  <w:color w:val="0000FF"/>
                </w:rPr>
                <w:t>не требуется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76237" w:rsidRDefault="004762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8" style="width:467.75pt;height:.75pt" o:hralign="center" o:hrstd="t" o:hr="t" fillcolor="gray" stroked="f"/>
              </w:pict>
            </w:r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76237" w:rsidRDefault="00476237">
            <w:pPr>
              <w:rPr>
                <w:rFonts w:eastAsia="Times New Roman"/>
              </w:rPr>
            </w:pPr>
            <w:hyperlink r:id="rId33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Как отразить в бюджетном учете казенного учреждения приобретение проездных билетов на бумажном носителе сотрудникам с разъездной работой </w:t>
              </w:r>
            </w:hyperlink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76237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76237" w:rsidRDefault="004762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правильно отразить в бюджетном учете учреждения приобретение проездных билетов на бумажном носителе работникам, работа которых имеет разъездной характер. </w:t>
                  </w:r>
                </w:p>
              </w:tc>
            </w:tr>
          </w:tbl>
          <w:p w:rsidR="00476237" w:rsidRDefault="0047623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76237" w:rsidRDefault="00476237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3360" behindDoc="0" locked="0" layoutInCell="1" allowOverlap="0" wp14:anchorId="01BDCB67" wp14:editId="6930CF0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57250"/>
                  <wp:effectExtent l="0" t="0" r="9525" b="0"/>
                  <wp:wrapSquare wrapText="bothSides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35" w:history="1">
              <w:r>
                <w:rPr>
                  <w:rStyle w:val="a3"/>
                  <w:color w:val="0000FF"/>
                </w:rPr>
                <w:t xml:space="preserve">консультации эксперта 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разъясняется, как отразить в бюджетном учете казенного учреждения приобретение бумажных проездных работникам, имеющим разъездной характер работы.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Расходы казенного учреждения, связанные с приобретением проездных билетов работникам, работа которых имеет разъездной характер, отражаются по виду расходов </w:t>
            </w:r>
            <w:hyperlink r:id="rId36" w:history="1">
              <w:r>
                <w:rPr>
                  <w:rStyle w:val="a3"/>
                  <w:color w:val="0000FF"/>
                </w:rPr>
                <w:t>244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«Прочая закупка товаров, работ и услуг» и относятся на </w:t>
            </w:r>
            <w:hyperlink r:id="rId37" w:history="1">
              <w:r>
                <w:rPr>
                  <w:rStyle w:val="a3"/>
                  <w:color w:val="0000FF"/>
                </w:rPr>
                <w:t>подстатью 222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«Транспортные услуги» КОСГУ (Порядок № 85н, Порядок № 209н).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Перечисление денежных средств в счет оплаты проездных билетов оформляется записью по дебету счета 1 302 22 834 и кредиту счета 1 304 05 222 (</w:t>
            </w:r>
            <w:hyperlink r:id="rId38" w:history="1">
              <w:r>
                <w:rPr>
                  <w:rStyle w:val="a3"/>
                  <w:color w:val="0000FF"/>
                </w:rPr>
                <w:t>п. 111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Инструкции № 162н).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Приобретенные бумажные проездные билеты учитываются в составе денежных документов на счете 1 201 35 000 (</w:t>
            </w:r>
            <w:hyperlink r:id="rId39" w:history="1">
              <w:r>
                <w:rPr>
                  <w:rStyle w:val="a3"/>
                  <w:color w:val="0000FF"/>
                </w:rPr>
                <w:t>п. 169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Инструкции № 157н). Их поступление в кассу учреждения оформляется Приходным кассовым ордером </w:t>
            </w:r>
            <w:hyperlink r:id="rId40" w:history="1">
              <w:r>
                <w:rPr>
                  <w:rStyle w:val="a3"/>
                  <w:color w:val="0000FF"/>
                </w:rPr>
                <w:t>(ф. 0310001)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 проставлением на нем надписи «Фондовый» и отражается бухгалтерской записью по дебету счета 1 201 35 510 и кредиту счета 1 302 22 734 (</w:t>
            </w:r>
            <w:hyperlink r:id="rId41" w:history="1">
              <w:r>
                <w:rPr>
                  <w:rStyle w:val="a3"/>
                  <w:color w:val="0000FF"/>
                </w:rPr>
                <w:t>п. 50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Инструкции № 162н).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Также эксперт обращает внимание, что расходы казенного учреждения, произведенные за счет бюджетных средств, не уменьшают налоговую базу по налогу на прибыль (</w:t>
            </w:r>
            <w:hyperlink r:id="rId42" w:history="1">
              <w:r>
                <w:rPr>
                  <w:rStyle w:val="a3"/>
                  <w:color w:val="0000FF"/>
                </w:rPr>
                <w:t>подп. 14 п. 1 ст. 251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НК РФ). А выплаты, направленные на возмещение работодателем расходов, связанных со служебными поездками работников, имеющих разъездной характер работы, не подлежат обложению НДФЛ в размерах, установленных коллективным договором (</w:t>
            </w:r>
            <w:hyperlink r:id="rId43" w:history="1">
              <w:r>
                <w:rPr>
                  <w:rStyle w:val="a3"/>
                  <w:color w:val="0000FF"/>
                </w:rPr>
                <w:t>Письмо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от 15.02.2017 № 03-04-06/8562).</w:t>
            </w:r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76237" w:rsidRDefault="00476237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pict>
                <v:rect id="_x0000_i1029" style="width:467.75pt;height:.75pt" o:hralign="center" o:hrstd="t" o:hr="t" fillcolor="gray" stroked="f"/>
              </w:pict>
            </w:r>
          </w:p>
          <w:p w:rsidR="00476237" w:rsidRDefault="00476237">
            <w:pPr>
              <w:jc w:val="center"/>
              <w:rPr>
                <w:rFonts w:eastAsia="Times New Roman"/>
                <w:lang w:val="en-US"/>
              </w:rPr>
            </w:pPr>
          </w:p>
          <w:p w:rsidR="00476237" w:rsidRDefault="00476237">
            <w:pPr>
              <w:jc w:val="center"/>
              <w:rPr>
                <w:rFonts w:eastAsia="Times New Roman"/>
                <w:lang w:val="en-US"/>
              </w:rPr>
            </w:pPr>
          </w:p>
          <w:p w:rsidR="00476237" w:rsidRDefault="00476237">
            <w:pPr>
              <w:jc w:val="center"/>
              <w:rPr>
                <w:rFonts w:eastAsia="Times New Roman"/>
                <w:lang w:val="en-US"/>
              </w:rPr>
            </w:pPr>
          </w:p>
          <w:p w:rsidR="00476237" w:rsidRDefault="00476237">
            <w:pPr>
              <w:jc w:val="center"/>
              <w:rPr>
                <w:rFonts w:eastAsia="Times New Roman"/>
                <w:lang w:val="en-US"/>
              </w:rPr>
            </w:pPr>
          </w:p>
          <w:p w:rsidR="00476237" w:rsidRPr="00476237" w:rsidRDefault="00476237">
            <w:pPr>
              <w:jc w:val="center"/>
              <w:rPr>
                <w:rFonts w:eastAsia="Times New Roman"/>
                <w:lang w:val="en-US"/>
              </w:rPr>
            </w:pPr>
            <w:bookmarkStart w:id="0" w:name="_GoBack"/>
            <w:bookmarkEnd w:id="0"/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76237" w:rsidRDefault="00476237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 xml:space="preserve">ВАЖНО ЗНАТЬ КАДРОВОМУ РАБОТНИКУ </w:t>
            </w:r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76237" w:rsidRDefault="00476237">
            <w:pPr>
              <w:rPr>
                <w:rFonts w:eastAsia="Times New Roman"/>
              </w:rPr>
            </w:pPr>
            <w:hyperlink r:id="rId44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Формы, порядок ведения и хранения трудовых книжек планируют изменить </w:t>
              </w:r>
            </w:hyperlink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76237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76237" w:rsidRDefault="004762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ознакомиться с проектом Приказа Минтруда, которым планируется утвердить форму трудовой книжки и порядок ведения и хранения трудовых книжек. </w:t>
                  </w:r>
                </w:p>
              </w:tc>
            </w:tr>
          </w:tbl>
          <w:p w:rsidR="00476237" w:rsidRDefault="0047623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76237" w:rsidRDefault="00476237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4384" behindDoc="0" locked="0" layoutInCell="1" allowOverlap="0" wp14:anchorId="04626A4F" wp14:editId="4E95070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62000"/>
                  <wp:effectExtent l="0" t="0" r="9525" b="0"/>
                  <wp:wrapSquare wrapText="bothSides"/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6" w:history="1">
              <w:r>
                <w:rPr>
                  <w:rStyle w:val="a3"/>
                  <w:color w:val="0000FF"/>
                </w:rPr>
                <w:t>Проект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Приказа Минтруда России «Об утверждении формы, порядка ведения и хранения трудовых книжек» находится на общественном обсуждении. 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соответствии с проектом работодатель (за исключением работодателей – физических лиц, не являющихся индивидуальными предпринимателями) ведет трудовые книжки на каждого работника, проработавшего у него свыше пяти дней, если работа у данного работодателя является для работника основной (за исключением случаев, если в соответствии с Трудовым кодексом РФ, иным федеральным законом трудовая книжка на работника не ведется (не оформляется)).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 дистанционной работе сведения о работе вносятся по соглашению сторон трудового договора.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Также проектом устанавливается порядок ведения и хранения трудовых книжек, выдачи дубликата трудовой книжки и трудовой книжки при увольнении или при подаче работником заявления о предоставлении ему работодателем сведений о трудовой деятельности в соответствии со статьей 66.1 Трудового кодекса РФ.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Планируется отменить следующие устаревшие и избыточные требования, в том числе: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вести приходно-расходную книгу по учету бланков трудовой книжки и вкладыша в нее, а также книги учета движения трудовых книжек и вкладышей в нее и скреплять их сургучной печатью или опломбировать;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вносить в трудовые книжки записи об общем трудовом стаже, в том числе лицам, отбывшим исправительные работы без лишения свободы, о том, что время работы в этот период не засчитывается в непрерывный трудовой стаж.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Некоторые записи в трудовую книжку проектом актуализированы в соответствии с требованиями принятых новых федеральных законов или изменениями в действующие федеральные законы.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  <w:u w:val="single"/>
              </w:rPr>
              <w:t xml:space="preserve"> </w:t>
            </w:r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76237" w:rsidRDefault="004762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0" style="width:467.75pt;height:.75pt" o:hralign="center" o:hrstd="t" o:hr="t" fillcolor="gray" stroked="f"/>
              </w:pict>
            </w:r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76237" w:rsidRDefault="00476237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ЦЕНТР ОПЕРАТИВНОГО КОНСУЛЬТИРОВАНИЯ ОТВЕЧАЕТ </w:t>
            </w:r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76237" w:rsidRDefault="00476237">
            <w:pPr>
              <w:rPr>
                <w:rFonts w:eastAsia="Times New Roman"/>
              </w:rPr>
            </w:pPr>
            <w:hyperlink r:id="rId4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Относятся ли бланки трудовых книжек к оборотным активам (заполнение по форме 0503773 строки 081 в части трудовых книжек)? </w:t>
              </w:r>
            </w:hyperlink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76237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76237" w:rsidRDefault="004762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при составлении бухгалтерской (бюджетной) отчетности за 2020 год </w:t>
                  </w: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lastRenderedPageBreak/>
                    <w:t xml:space="preserve">по форме 0503773 необходимо учитывать классификацию и деление активов на долгосрочные (внеоборотные) и краткосрочные (оборотные). </w:t>
                  </w:r>
                </w:p>
              </w:tc>
            </w:tr>
          </w:tbl>
          <w:p w:rsidR="00476237" w:rsidRDefault="0047623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76237" w:rsidRDefault="00476237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42875" distR="142875" simplePos="0" relativeHeight="251665408" behindDoc="0" locked="0" layoutInCell="1" allowOverlap="0" wp14:anchorId="0812DF6F" wp14:editId="5712601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8" name="Рисунок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Активы и обязательства в балансе показываются с разделением их на долгосрочные (внеоборотные) и краткосрочные (оборотные). Классификация активов и обязательств на долгосрочные и краткосрочные установлена </w:t>
            </w:r>
            <w:hyperlink r:id="rId49" w:history="1">
              <w:r>
                <w:rPr>
                  <w:rStyle w:val="a3"/>
                  <w:color w:val="0000FF"/>
                </w:rPr>
                <w:t>пп. 27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-</w:t>
            </w:r>
            <w:hyperlink r:id="rId50" w:history="1">
              <w:r>
                <w:rPr>
                  <w:rStyle w:val="a3"/>
                  <w:color w:val="0000FF"/>
                </w:rPr>
                <w:t>31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СГС «Отчетность» (утв. </w:t>
            </w:r>
            <w:hyperlink r:id="rId51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от 31.12.2016 № 260н (ред. от 13.12.2019)).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Краткосрочные (оборотные) активы включают материальные запасы (в т.ч. БСО, материалы), дебиторскую задолженность и другие активы, которые могут быть потреблены, переданы (проданы) или обращены в денежные средства в течение 12 месяцев после отчетной даты, даже если их выбытие в течение этого периода не предполагается. 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Краткосрочные активы включают также текущую долю долгосрочных финансовых активов, то есть часть долгосрочных финансовых активов субъекта, подлежащих погашению в течение 12 месяцев после отчетной даты.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Все прочие активы субъекта отчетности, включая материальные, нематериальные и финансовые, признаются долгосрочными (внеоборотными).</w:t>
            </w:r>
          </w:p>
          <w:p w:rsidR="00476237" w:rsidRDefault="0047623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Поскольку трудовые книжки относятся к краткосрочным (оборотным) активам, в ф. 0503773 нужно заполнять строку 081 в части трудовых книжек.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 xml:space="preserve"> </w:t>
            </w:r>
          </w:p>
        </w:tc>
      </w:tr>
      <w:tr w:rsidR="00476237" w:rsidTr="00476237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76237" w:rsidRDefault="004762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467.75pt;height:.75pt" o:hralign="center" o:hrstd="t" o:hr="t" fillcolor="gray" stroked="f"/>
              </w:pict>
            </w:r>
          </w:p>
        </w:tc>
      </w:tr>
    </w:tbl>
    <w:p w:rsidR="001C5264" w:rsidRDefault="001C5264"/>
    <w:sectPr w:rsidR="001C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37"/>
    <w:rsid w:val="001C5264"/>
    <w:rsid w:val="0047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237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476237"/>
  </w:style>
  <w:style w:type="character" w:customStyle="1" w:styleId="title-main">
    <w:name w:val="title-main"/>
    <w:basedOn w:val="a0"/>
    <w:rsid w:val="00476237"/>
  </w:style>
  <w:style w:type="paragraph" w:styleId="a5">
    <w:name w:val="Balloon Text"/>
    <w:basedOn w:val="a"/>
    <w:link w:val="a6"/>
    <w:uiPriority w:val="99"/>
    <w:semiHidden/>
    <w:unhideWhenUsed/>
    <w:rsid w:val="00476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23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237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476237"/>
  </w:style>
  <w:style w:type="character" w:customStyle="1" w:styleId="title-main">
    <w:name w:val="title-main"/>
    <w:basedOn w:val="a0"/>
    <w:rsid w:val="00476237"/>
  </w:style>
  <w:style w:type="paragraph" w:styleId="a5">
    <w:name w:val="Balloon Text"/>
    <w:basedOn w:val="a"/>
    <w:link w:val="a6"/>
    <w:uiPriority w:val="99"/>
    <w:semiHidden/>
    <w:unhideWhenUsed/>
    <w:rsid w:val="00476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23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ork.elcode.ru/subscribe/link/?hash=8ca9367401bb5ca4a6659b47842deb00&amp;id_send=16298&amp;id_email=8673098&amp;url=https%3A%2F%2Flogin.consultant.ru%2Flink%2F%3Freq%3Ddoc%26base%3DLAW%26n%3D373954%26dst%3D100004&amp;uid_news=857536&amp;cli=" TargetMode="External"/><Relationship Id="rId18" Type="http://schemas.openxmlformats.org/officeDocument/2006/relationships/hyperlink" Target="http://work.elcode.ru/subscribe/link/?hash=8ca9367401bb5ca4a6659b47842deb00&amp;id_send=16298&amp;id_email=8673098&amp;url=https%3A%2F%2Flogin.consultant.ru%2Flink%2F%3Freq%3Ddoc%26amp%3Bbase%3DLAW%26amp%3Bn%3D373954%26amp%3Bdst%3D1000000008&amp;uid_news=857536&amp;cli=" TargetMode="External"/><Relationship Id="rId26" Type="http://schemas.openxmlformats.org/officeDocument/2006/relationships/hyperlink" Target="consultantplus://offline/ref=67C3FADD9FE9CEC6BB5CBAEB287856276E2F431AD290AF04A49F8F504E650F09BDFCE426C83B33B63095F97BC326516138CC8286427F01D149l6X" TargetMode="External"/><Relationship Id="rId39" Type="http://schemas.openxmlformats.org/officeDocument/2006/relationships/hyperlink" Target="http://work.elcode.ru/subscribe/link/?hash=8ca9367401bb5ca4a6659b47842deb00&amp;id_send=16298&amp;id_email=8673098&amp;url=https%3A%2F%2Flogin.consultant.ru%2Flink%2F%3Freq%3Ddoc%26amp%3Bbase%3DLAW%26amp%3Bn%3D364484%26amp%3Bdst%3D65&amp;uid_news=857478&amp;cli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ork.elcode.ru/subscribe/link/?hash=8ca9367401bb5ca4a6659b47842deb00&amp;id_send=16298&amp;id_email=8673098&amp;url=https%3A%2F%2Flogin.consultant.ru%2Flink%2F%3Freq%3Ddoc%26amp%3Bbase%3DLAW%26amp%3Bn%3D373627%26amp%3Bdst%3D100003&amp;uid_news=857531&amp;cli=" TargetMode="External"/><Relationship Id="rId34" Type="http://schemas.openxmlformats.org/officeDocument/2006/relationships/image" Target="media/image6.jpeg"/><Relationship Id="rId42" Type="http://schemas.openxmlformats.org/officeDocument/2006/relationships/hyperlink" Target="http://work.elcode.ru/subscribe/link/?hash=8ca9367401bb5ca4a6659b47842deb00&amp;id_send=16298&amp;id_email=8673098&amp;url=https%3A%2F%2Flogin.consultant.ru%2Flink%2F%3Freq%3Ddoc%26amp%3Bbase%3DLAW%26amp%3Bn%3D357589%26amp%3Bdst%3D5679&amp;uid_news=857478&amp;cli=" TargetMode="External"/><Relationship Id="rId47" Type="http://schemas.openxmlformats.org/officeDocument/2006/relationships/hyperlink" Target="http://work.elcode.ru/subscribe/link/?hash=8ca9367401bb5ca4a6659b47842deb00&amp;id_send=16298&amp;id_email=8673098&amp;url=https%3A%2F%2Flogin.consultant.ru%2Flink%2F%3Freq%3Ddoc%26base%3DLAW%26n%3D343977%26dst%3D100004&amp;uid_news=857367&amp;cli=" TargetMode="External"/><Relationship Id="rId50" Type="http://schemas.openxmlformats.org/officeDocument/2006/relationships/hyperlink" Target="consultantplus://offline/ref=45D0DBB22C8929566869B03304182529E01614ED1F8FBBC297D4A24C6A812ADECDC71F2E0C4B8CBE3EF6AA75D0F5744F98AAB5D3E02E7BF7e910U" TargetMode="External"/><Relationship Id="rId7" Type="http://schemas.openxmlformats.org/officeDocument/2006/relationships/hyperlink" Target="http://work.elcode.ru/subscribe/link/?hash=8ca9367401bb5ca4a6659b47842deb00&amp;id_send=16298&amp;id_email=8673098&amp;url=https%3A%2F%2Flogin.consultant.ru%2Flink%2F%3Freq%3Ddoc%26base%3DLAW%26n%3D373766%26dst%3D1000000005&amp;uid_news=857540&amp;cli=" TargetMode="External"/><Relationship Id="rId12" Type="http://schemas.openxmlformats.org/officeDocument/2006/relationships/hyperlink" Target="http://work.elcode.ru/subscribe/link/?hash=8ca9367401bb5ca4a6659b47842deb00&amp;id_send=16298&amp;id_email=8673098&amp;url=https%3A%2F%2Flogin.consultant.ru%2Flink%2F%3Freq%3Ddoc%26amp%3Bbase%3DLAW%26amp%3Bn%3D177894%26amp%3Bdst%3D1000000005&amp;uid_news=857540&amp;cli=" TargetMode="External"/><Relationship Id="rId17" Type="http://schemas.openxmlformats.org/officeDocument/2006/relationships/hyperlink" Target="consultantplus://offline/ref=36F7A3175000FA2DAA9D8D650657A0452E726FD05B7F9A855AC99F651BDB44F0F2D5822F7EFC31472700C853DE3A4EE06C9E8A07B1CBF6398E3B59BCC2eDW" TargetMode="External"/><Relationship Id="rId25" Type="http://schemas.openxmlformats.org/officeDocument/2006/relationships/hyperlink" Target="consultantplus://offline/ref=67C3FADD9FE9CEC6BB5CBAEB287856276E2C4B1AD993AF04A49F8F504E650F09BDFCE426C83B33B63095F97BC326516138CC8286427F01D149l6X" TargetMode="External"/><Relationship Id="rId33" Type="http://schemas.openxmlformats.org/officeDocument/2006/relationships/hyperlink" Target="http://work.elcode.ru/subscribe/link/?hash=8ca9367401bb5ca4a6659b47842deb00&amp;id_send=16298&amp;id_email=8673098&amp;url=https%3A%2F%2Flogin.consultant.ru%2Flink%2F%3Freq%3Ddoc%26base%3DKRBO%26n%3D2061%26dst%3D100026&amp;uid_news=857478&amp;cli=" TargetMode="External"/><Relationship Id="rId38" Type="http://schemas.openxmlformats.org/officeDocument/2006/relationships/hyperlink" Target="http://work.elcode.ru/subscribe/link/?hash=8ca9367401bb5ca4a6659b47842deb00&amp;id_send=16298&amp;id_email=8673098&amp;url=https%3A%2F%2Flogin.consultant.ru%2Flink%2F%3Freq%3Ddoc%26amp%3Bbase%3DLAW%26amp%3Bn%3D371207%26amp%3Bdst%3D439&amp;uid_news=857478&amp;cli=" TargetMode="External"/><Relationship Id="rId46" Type="http://schemas.openxmlformats.org/officeDocument/2006/relationships/hyperlink" Target="consultantplus://offline/ref=7640EAB7633EA59E931A0B998E39EBA44E125649BDF42FF5B7D1BD83950BDA9354F60B9A9ADA2606977F5B063BW9jC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7AD4ADBEC3BDACD6D2A820FB5B8BF15661195DDD991836FEA90D1CF05E20D6F64D02FB07E696984B0A813DC1A8294B77A81155C9F1D2DDP3d7W" TargetMode="External"/><Relationship Id="rId20" Type="http://schemas.openxmlformats.org/officeDocument/2006/relationships/image" Target="media/image4.jpeg"/><Relationship Id="rId29" Type="http://schemas.openxmlformats.org/officeDocument/2006/relationships/hyperlink" Target="consultantplus://offline/ref=B1197FCAB656EE0553A919FE2229A8861407AC908B1886DA5A6E0522B5FE096FDD9F6F9A562F9905118B12183F6EF23A30E1D4E63CDC743BO9fCX" TargetMode="External"/><Relationship Id="rId41" Type="http://schemas.openxmlformats.org/officeDocument/2006/relationships/hyperlink" Target="http://work.elcode.ru/subscribe/link/?hash=8ca9367401bb5ca4a6659b47842deb00&amp;id_send=16298&amp;id_email=8673098&amp;url=https%3A%2F%2Flogin.consultant.ru%2Flink%2F%3Freq%3Ddoc%26amp%3Bbase%3DLAW%26amp%3Bn%3D371207%26amp%3Bdst%3D102615&amp;uid_news=857478&amp;cli=" TargetMode="External"/><Relationship Id="rId1" Type="http://schemas.openxmlformats.org/officeDocument/2006/relationships/styles" Target="styles.xml"/><Relationship Id="rId6" Type="http://schemas.openxmlformats.org/officeDocument/2006/relationships/image" Target="cid:e6d478b93077b66bac23a4da9a26b49d@swift.generated" TargetMode="External"/><Relationship Id="rId11" Type="http://schemas.openxmlformats.org/officeDocument/2006/relationships/hyperlink" Target="consultantplus://offline/ref=1C5D3ABC91688313DEC6FB20D0F02B72B3E7CB0E13EC894F2383B831A3ED61A11B87DB24508C8DD4494523B7221C45FC5EF2291E3951DC663FM8W" TargetMode="External"/><Relationship Id="rId24" Type="http://schemas.openxmlformats.org/officeDocument/2006/relationships/hyperlink" Target="consultantplus://offline/ref=67C3FADD9FE9CEC6BB5CBAEB287856276E2F431AD291AF04A49F8F504E650F09BDFCE426C83B33B63095F97BC326516138CC8286427F01D149l6X" TargetMode="External"/><Relationship Id="rId32" Type="http://schemas.openxmlformats.org/officeDocument/2006/relationships/hyperlink" Target="consultantplus://offline/ref=53124172021A7D88E98D8731AAD10D90E85CA2C5F46E795BC6D65833389DD9AD5E2DA06F18CC15F4D8E8C5B438237FFAFB3B4A5AA320DC74O5eAX" TargetMode="External"/><Relationship Id="rId37" Type="http://schemas.openxmlformats.org/officeDocument/2006/relationships/hyperlink" Target="http://work.elcode.ru/subscribe/link/?hash=8ca9367401bb5ca4a6659b47842deb00&amp;id_send=16298&amp;id_email=8673098&amp;url=https%3A%2F%2Flogin.consultant.ru%2Flink%2F%3Freq%3Ddoc%26amp%3Bbase%3DLAW%26amp%3Bn%3D367442%26amp%3Bdst%3D100429&amp;uid_news=857478&amp;cli=" TargetMode="External"/><Relationship Id="rId40" Type="http://schemas.openxmlformats.org/officeDocument/2006/relationships/hyperlink" Target="http://work.elcode.ru/subscribe/link/?hash=8ca9367401bb5ca4a6659b47842deb00&amp;id_send=16298&amp;id_email=8673098&amp;url=https%3A%2F%2Flogin.consultant.ru%2Flink%2F%3Freq%3Ddoc%26amp%3Bbase%3DLAW%26amp%3Bn%3D27261%26amp%3Bdst%3D100054&amp;uid_news=857478&amp;cli=" TargetMode="External"/><Relationship Id="rId45" Type="http://schemas.openxmlformats.org/officeDocument/2006/relationships/image" Target="media/image7.jpeg"/><Relationship Id="rId53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work.elcode.ru/subscribe/link/?hash=8ca9367401bb5ca4a6659b47842deb00&amp;id_send=16298&amp;id_email=8673098&amp;url=https%3A%2F%2Flogin.consultant.ru%2Flink%2F%3Freq%3Ddoc%26amp%3Bbase%3DLAW%26amp%3Bn%3D373954%26amp%3Bdst%3D1000000005&amp;uid_news=857536&amp;cli=" TargetMode="External"/><Relationship Id="rId23" Type="http://schemas.openxmlformats.org/officeDocument/2006/relationships/hyperlink" Target="consultantplus://offline/ref=67C3FADD9FE9CEC6BB5CBAEB287856276E2D4717D897AF04A49F8F504E650F09BDFCE426C83B33B73995F97BC326516138CC8286427F01D149l6X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://work.elcode.ru/subscribe/link/?hash=8ca9367401bb5ca4a6659b47842deb00&amp;id_send=16298&amp;id_email=8673098&amp;url=https%3A%2F%2Flogin.consultant.ru%2Flink%2F%3Freq%3Ddoc%26amp%3Bbase%3DLAW%26amp%3Bn%3D372458%26amp%3Bdst%3D101826&amp;uid_news=857478&amp;cli=" TargetMode="External"/><Relationship Id="rId49" Type="http://schemas.openxmlformats.org/officeDocument/2006/relationships/hyperlink" Target="consultantplus://offline/ref=45D0DBB22C8929566869B03304182529E01614ED1F8FBBC297D4A24C6A812ADECDC71F2E0C4B8CBF3BF6AA75D0F5744F98AAB5D3E02E7BF7e910U" TargetMode="External"/><Relationship Id="rId10" Type="http://schemas.openxmlformats.org/officeDocument/2006/relationships/hyperlink" Target="consultantplus://offline/ref=1C5D3ABC91688313DEC6FB20D0F02B72B3E7CB0E13EC894F2383B831A3ED61A11B87DB24508C89D3414523B7221C45FC5EF2291E3951DC663FM8W" TargetMode="External"/><Relationship Id="rId19" Type="http://schemas.openxmlformats.org/officeDocument/2006/relationships/hyperlink" Target="http://work.elcode.ru/subscribe/link/?hash=8ca9367401bb5ca4a6659b47842deb00&amp;id_send=16298&amp;id_email=8673098&amp;url=https%3A%2F%2Flogin.consultant.ru%2Flink%2F%3Freq%3Ddoc%26base%3DLAW%26n%3D373627%26dst%3D100003&amp;uid_news=857531&amp;cli=" TargetMode="External"/><Relationship Id="rId31" Type="http://schemas.openxmlformats.org/officeDocument/2006/relationships/hyperlink" Target="consultantplus://offline/ref=53124172021A7D88E98D9A23BFA558C3E658A1C4F26D795BC6D65833389DD9AD5E2DA06F18CF13F4DFE8C5B438237FFAFB3B4A5AA320DC74O5eAX" TargetMode="External"/><Relationship Id="rId44" Type="http://schemas.openxmlformats.org/officeDocument/2006/relationships/hyperlink" Target="http://work.elcode.ru/subscribe/link/?hash=8ca9367401bb5ca4a6659b47842deb00&amp;id_send=16298&amp;id_email=8673098&amp;url=https%3A%2F%2Flogin.consultant.ru%2Flink%2F%3Freq%3Ddoc%26base%3DPNPA%26n%3D66617%26dst%3D100010&amp;uid_news=857456&amp;cli=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08805A91B680B301FF11783311A02D42379774205821A4E02A66238B858BB1C98BD9A0442A2E02A26CCB26F36058DC194E9275445E8F6DK0Q4W" TargetMode="External"/><Relationship Id="rId14" Type="http://schemas.openxmlformats.org/officeDocument/2006/relationships/image" Target="media/image3.jpeg"/><Relationship Id="rId22" Type="http://schemas.openxmlformats.org/officeDocument/2006/relationships/hyperlink" Target="consultantplus://offline/ref=67C3FADD9FE9CEC6BB5CBAEB287856276E2D4518D99AAF04A49F8F504E650F09BDFCE426C83B33B73995F97BC326516138CC8286427F01D149l6X" TargetMode="External"/><Relationship Id="rId27" Type="http://schemas.openxmlformats.org/officeDocument/2006/relationships/hyperlink" Target="http://work.elcode.ru/subscribe/link/?hash=8ca9367401bb5ca4a6659b47842deb00&amp;id_send=16298&amp;id_email=8673098&amp;url=https%3A%2F%2Flogin.consultant.ru%2Flink%2F%3Freq%3Ddoc%26base%3DQSBO%26n%3D21744%26dst%3D1000000004&amp;uid_news=857517&amp;cli=" TargetMode="External"/><Relationship Id="rId30" Type="http://schemas.openxmlformats.org/officeDocument/2006/relationships/hyperlink" Target="consultantplus://offline/ref=53124172021A7D88E98D8731AAD10D90E85CA2C5F46E795BC6D65833389DD9AD5E2DA06F18CC15F4D9E8C5B438237FFAFB3B4A5AA320DC74O5eAX" TargetMode="External"/><Relationship Id="rId35" Type="http://schemas.openxmlformats.org/officeDocument/2006/relationships/hyperlink" Target="consultantplus://offline/ref=783916E07522C7388D8D84FABBB249B797C02920E04263A082730F52D6CEC6C3C3D90F7E192F0151C8E095BE3FC7FC26441B9BE484597Bb415X" TargetMode="External"/><Relationship Id="rId43" Type="http://schemas.openxmlformats.org/officeDocument/2006/relationships/hyperlink" Target="http://work.elcode.ru/subscribe/link/?hash=8ca9367401bb5ca4a6659b47842deb00&amp;id_send=16298&amp;id_email=8673098&amp;url=https%3A%2F%2Flogin.consultant.ru%2Flink%2F%3Freq%3Ddoc%26amp%3Bbase%3DQUEST%26amp%3Bn%3D112924&amp;uid_news=857478&amp;cli=" TargetMode="External"/><Relationship Id="rId48" Type="http://schemas.openxmlformats.org/officeDocument/2006/relationships/image" Target="media/image8.jpeg"/><Relationship Id="rId8" Type="http://schemas.openxmlformats.org/officeDocument/2006/relationships/image" Target="media/image2.jpeg"/><Relationship Id="rId51" Type="http://schemas.openxmlformats.org/officeDocument/2006/relationships/hyperlink" Target="http://work.elcode.ru/subscribe/link/?hash=8ca9367401bb5ca4a6659b47842deb00&amp;id_send=16298&amp;id_email=8673098&amp;url=https%3A%2F%2Flogin.consultant.ru%2Flink%2F%3Freq%3Ddoc%26amp%3Bbase%3DLAW%26amp%3Bn%3D343977%26amp%3Bdst%3D100003&amp;uid_news=857367&amp;cli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17141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Брилева (Скрыпникова) Екатерина Анатольевна</cp:lastModifiedBy>
  <cp:revision>1</cp:revision>
  <dcterms:created xsi:type="dcterms:W3CDTF">2021-01-20T14:17:00Z</dcterms:created>
  <dcterms:modified xsi:type="dcterms:W3CDTF">2021-01-20T14:18:00Z</dcterms:modified>
</cp:coreProperties>
</file>