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8"/>
      </w:tblGrid>
      <w:tr w:rsidR="00465699" w:rsidTr="00465699">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465699">
              <w:trPr>
                <w:jc w:val="center"/>
              </w:trPr>
              <w:tc>
                <w:tcPr>
                  <w:tcW w:w="8100" w:type="dxa"/>
                  <w:shd w:val="clear" w:color="auto" w:fill="DDDEE2"/>
                  <w:tcMar>
                    <w:top w:w="450" w:type="dxa"/>
                    <w:left w:w="450" w:type="dxa"/>
                    <w:bottom w:w="450" w:type="dxa"/>
                    <w:right w:w="450" w:type="dxa"/>
                  </w:tcMar>
                  <w:vAlign w:val="center"/>
                  <w:hideMark/>
                </w:tcPr>
                <w:p w:rsidR="00465699" w:rsidRDefault="00465699">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465699">
              <w:trPr>
                <w:jc w:val="center"/>
              </w:trPr>
              <w:tc>
                <w:tcPr>
                  <w:tcW w:w="8100" w:type="dxa"/>
                  <w:shd w:val="clear" w:color="auto" w:fill="DDDEE2"/>
                  <w:tcMar>
                    <w:top w:w="300" w:type="dxa"/>
                    <w:left w:w="450" w:type="dxa"/>
                    <w:bottom w:w="300" w:type="dxa"/>
                    <w:right w:w="450" w:type="dxa"/>
                  </w:tcMar>
                  <w:vAlign w:val="center"/>
                  <w:hideMark/>
                </w:tcPr>
                <w:p w:rsidR="00465699" w:rsidRDefault="00465699">
                  <w:pPr>
                    <w:rPr>
                      <w:rFonts w:eastAsia="Times New Roman"/>
                      <w:sz w:val="20"/>
                      <w:szCs w:val="20"/>
                    </w:rPr>
                  </w:pPr>
                </w:p>
              </w:tc>
            </w:tr>
          </w:tbl>
          <w:p w:rsidR="00465699" w:rsidRDefault="00465699">
            <w:pPr>
              <w:jc w:val="center"/>
              <w:rPr>
                <w:rFonts w:eastAsia="Times New Roman"/>
                <w:sz w:val="20"/>
                <w:szCs w:val="20"/>
              </w:rPr>
            </w:pPr>
          </w:p>
        </w:tc>
      </w:tr>
      <w:tr w:rsidR="00465699" w:rsidTr="00465699">
        <w:trPr>
          <w:jc w:val="center"/>
        </w:trPr>
        <w:tc>
          <w:tcPr>
            <w:tcW w:w="9000" w:type="dxa"/>
            <w:shd w:val="clear" w:color="auto" w:fill="FFFFFF"/>
            <w:vAlign w:val="center"/>
            <w:hideMark/>
          </w:tcPr>
          <w:p w:rsidR="00465699" w:rsidRDefault="00465699">
            <w:pPr>
              <w:jc w:val="center"/>
              <w:rPr>
                <w:rFonts w:eastAsia="Times New Roman"/>
              </w:rPr>
            </w:pPr>
            <w:r>
              <w:rPr>
                <w:rFonts w:eastAsia="Times New Roman"/>
                <w:noProof/>
              </w:rPr>
              <w:drawing>
                <wp:inline distT="0" distB="0" distL="0" distR="0" wp14:anchorId="2DA88F5E" wp14:editId="3690D49A">
                  <wp:extent cx="5720080" cy="1233170"/>
                  <wp:effectExtent l="0" t="0" r="0" b="508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20080" cy="1233170"/>
                          </a:xfrm>
                          <a:prstGeom prst="rect">
                            <a:avLst/>
                          </a:prstGeom>
                          <a:noFill/>
                          <a:ln>
                            <a:noFill/>
                          </a:ln>
                        </pic:spPr>
                      </pic:pic>
                    </a:graphicData>
                  </a:graphic>
                </wp:inline>
              </w:drawing>
            </w:r>
          </w:p>
        </w:tc>
      </w:tr>
      <w:tr w:rsidR="00465699" w:rsidTr="00465699">
        <w:trPr>
          <w:jc w:val="center"/>
        </w:trPr>
        <w:tc>
          <w:tcPr>
            <w:tcW w:w="9000" w:type="dxa"/>
            <w:shd w:val="clear" w:color="auto" w:fill="D0D1D3"/>
            <w:tcMar>
              <w:top w:w="300" w:type="dxa"/>
              <w:left w:w="300" w:type="dxa"/>
              <w:bottom w:w="300" w:type="dxa"/>
              <w:right w:w="300" w:type="dxa"/>
            </w:tcMar>
            <w:vAlign w:val="center"/>
            <w:hideMark/>
          </w:tcPr>
          <w:p w:rsidR="00465699" w:rsidRDefault="00465699">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465699" w:rsidTr="00465699">
        <w:trPr>
          <w:jc w:val="center"/>
        </w:trPr>
        <w:tc>
          <w:tcPr>
            <w:tcW w:w="9000" w:type="dxa"/>
            <w:shd w:val="clear" w:color="auto" w:fill="FFFFFF"/>
            <w:tcMar>
              <w:top w:w="300" w:type="dxa"/>
              <w:left w:w="450" w:type="dxa"/>
              <w:bottom w:w="150" w:type="dxa"/>
              <w:right w:w="450" w:type="dxa"/>
            </w:tcMar>
            <w:vAlign w:val="center"/>
            <w:hideMark/>
          </w:tcPr>
          <w:p w:rsidR="00465699" w:rsidRDefault="00465699">
            <w:pPr>
              <w:rPr>
                <w:rFonts w:eastAsia="Times New Roman"/>
              </w:rPr>
            </w:pPr>
            <w:hyperlink r:id="rId7" w:tgtFrame="_blank" w:history="1">
              <w:r>
                <w:rPr>
                  <w:rStyle w:val="a3"/>
                  <w:rFonts w:eastAsia="Times New Roman"/>
                  <w:b/>
                  <w:bCs/>
                  <w:color w:val="555555"/>
                  <w:sz w:val="27"/>
                  <w:szCs w:val="27"/>
                  <w:u w:val="none"/>
                </w:rPr>
                <w:t xml:space="preserve">Утверждена единая методика аттестации госслужащих </w:t>
              </w:r>
            </w:hyperlink>
          </w:p>
        </w:tc>
      </w:tr>
      <w:tr w:rsidR="00465699" w:rsidTr="00465699">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65699">
              <w:tc>
                <w:tcPr>
                  <w:tcW w:w="7650" w:type="dxa"/>
                  <w:shd w:val="clear" w:color="auto" w:fill="EEEEEE"/>
                  <w:tcMar>
                    <w:top w:w="225" w:type="dxa"/>
                    <w:left w:w="225" w:type="dxa"/>
                    <w:bottom w:w="225" w:type="dxa"/>
                    <w:right w:w="225" w:type="dxa"/>
                  </w:tcMar>
                  <w:vAlign w:val="center"/>
                  <w:hideMark/>
                </w:tcPr>
                <w:p w:rsidR="00465699" w:rsidRDefault="00465699">
                  <w:pPr>
                    <w:rPr>
                      <w:rFonts w:eastAsia="Times New Roman"/>
                    </w:rPr>
                  </w:pPr>
                  <w:r>
                    <w:rPr>
                      <w:rFonts w:ascii="Arial" w:eastAsia="Times New Roman" w:hAnsi="Arial" w:cs="Arial"/>
                      <w:color w:val="444444"/>
                      <w:sz w:val="21"/>
                      <w:szCs w:val="21"/>
                    </w:rPr>
                    <w:t xml:space="preserve">Риски: с 19 сентября 2020 года аттестация государственных гражданских служащих Российской Федерации будет проводиться по новой единой методике. </w:t>
                  </w:r>
                </w:p>
              </w:tc>
            </w:tr>
          </w:tbl>
          <w:p w:rsidR="00465699" w:rsidRDefault="00465699">
            <w:pPr>
              <w:rPr>
                <w:rFonts w:eastAsia="Times New Roman"/>
                <w:sz w:val="20"/>
                <w:szCs w:val="20"/>
              </w:rPr>
            </w:pPr>
          </w:p>
        </w:tc>
      </w:tr>
      <w:tr w:rsidR="00465699" w:rsidTr="00465699">
        <w:trPr>
          <w:jc w:val="center"/>
        </w:trPr>
        <w:tc>
          <w:tcPr>
            <w:tcW w:w="9000" w:type="dxa"/>
            <w:shd w:val="clear" w:color="auto" w:fill="FFFFFF"/>
            <w:tcMar>
              <w:top w:w="300" w:type="dxa"/>
              <w:left w:w="450" w:type="dxa"/>
              <w:bottom w:w="300" w:type="dxa"/>
              <w:right w:w="450" w:type="dxa"/>
            </w:tcMar>
            <w:vAlign w:val="center"/>
            <w:hideMark/>
          </w:tcPr>
          <w:p w:rsidR="00465699" w:rsidRDefault="00465699">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14:anchorId="5A52BB8E" wp14:editId="32F217D8">
                  <wp:simplePos x="0" y="0"/>
                  <wp:positionH relativeFrom="column">
                    <wp:align>left</wp:align>
                  </wp:positionH>
                  <wp:positionV relativeFrom="line">
                    <wp:posOffset>0</wp:posOffset>
                  </wp:positionV>
                  <wp:extent cx="1190625" cy="800100"/>
                  <wp:effectExtent l="0" t="0" r="9525"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Правительство РФ </w:t>
            </w:r>
            <w:hyperlink r:id="rId9" w:history="1">
              <w:r>
                <w:rPr>
                  <w:rStyle w:val="a3"/>
                  <w:color w:val="0000FF"/>
                </w:rPr>
                <w:t>Постановлением</w:t>
              </w:r>
            </w:hyperlink>
            <w:r>
              <w:rPr>
                <w:rFonts w:ascii="Calibri" w:hAnsi="Calibri" w:cs="Arial"/>
                <w:color w:val="444444"/>
                <w:sz w:val="22"/>
                <w:szCs w:val="22"/>
              </w:rPr>
              <w:t xml:space="preserve"> от 09.09.2020 № 1387 утвердило единую методику проведения аттестации госслужащих, которая уточняет некоторые правила аттестации, что позволит упорядочить проведение такой процедуры в госорганах. Методика действует с 19 сентября 2020 года.</w:t>
            </w:r>
          </w:p>
          <w:p w:rsidR="00465699" w:rsidRDefault="00465699">
            <w:pPr>
              <w:pStyle w:val="a4"/>
              <w:spacing w:line="270" w:lineRule="atLeast"/>
              <w:rPr>
                <w:rFonts w:ascii="Arial" w:hAnsi="Arial" w:cs="Arial"/>
                <w:color w:val="444444"/>
                <w:sz w:val="21"/>
                <w:szCs w:val="21"/>
              </w:rPr>
            </w:pPr>
            <w:r>
              <w:rPr>
                <w:rFonts w:ascii="Calibri" w:hAnsi="Calibri" w:cs="Arial"/>
                <w:b/>
                <w:bCs/>
                <w:color w:val="444444"/>
                <w:sz w:val="22"/>
                <w:szCs w:val="22"/>
              </w:rPr>
              <w:t>Документы для проведения аттестации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Аттестацию проводят на основании правового акта госоргана. В этом документе </w:t>
            </w:r>
            <w:hyperlink r:id="rId10" w:history="1">
              <w:r>
                <w:rPr>
                  <w:rStyle w:val="a3"/>
                  <w:color w:val="0000FF"/>
                </w:rPr>
                <w:t>указывают</w:t>
              </w:r>
            </w:hyperlink>
            <w:r>
              <w:rPr>
                <w:rFonts w:ascii="Calibri" w:hAnsi="Calibri" w:cs="Arial"/>
                <w:color w:val="444444"/>
                <w:sz w:val="22"/>
                <w:szCs w:val="22"/>
              </w:rPr>
              <w:t> следующие положения:</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состав аттестационной комиссии, сроки и порядок ее работы;</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график аттестации, список аттестуемых или ссылку на эти документы. Также дается поручение ознакомить с ними каждого аттестуемого;</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поручение непосредственному руководителю госслужащего подготовить и представить в аттестационную комиссию отзыв о сотруднике. Приводится поручение ознакомить госслужащего с этим отзывом не позднее чем за две недели до начала аттестации;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методы оценки профдеятельности служащих с учетом категорий и групп должностей, областей и видов такой деятельности;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поручение кадровой службе подготовить материалы, которые нужны для работы аттестационной комиссии;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распоряжение проинформировать независимых экспертов о месте и времени заседания аттестационной комиссии.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В приложении к единой методике приведена </w:t>
            </w:r>
            <w:hyperlink r:id="rId11" w:history="1">
              <w:r>
                <w:rPr>
                  <w:rStyle w:val="a3"/>
                  <w:color w:val="0000FF"/>
                </w:rPr>
                <w:t>примерная форма</w:t>
              </w:r>
            </w:hyperlink>
            <w:r>
              <w:rPr>
                <w:rFonts w:ascii="Calibri" w:hAnsi="Calibri" w:cs="Arial"/>
                <w:color w:val="444444"/>
                <w:sz w:val="22"/>
                <w:szCs w:val="22"/>
              </w:rPr>
              <w:t> такого акта.</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График аттестации </w:t>
            </w:r>
            <w:hyperlink r:id="rId12" w:history="1">
              <w:r>
                <w:rPr>
                  <w:rStyle w:val="a3"/>
                  <w:color w:val="0000FF"/>
                </w:rPr>
                <w:t>составляет</w:t>
              </w:r>
            </w:hyperlink>
            <w:r>
              <w:rPr>
                <w:rFonts w:ascii="Calibri" w:hAnsi="Calibri" w:cs="Arial"/>
                <w:color w:val="444444"/>
                <w:sz w:val="22"/>
                <w:szCs w:val="22"/>
              </w:rPr>
              <w:t xml:space="preserve"> кадровая служба с учетом мнения непосредственного </w:t>
            </w:r>
            <w:r>
              <w:rPr>
                <w:rFonts w:ascii="Calibri" w:hAnsi="Calibri" w:cs="Arial"/>
                <w:color w:val="444444"/>
                <w:sz w:val="22"/>
                <w:szCs w:val="22"/>
              </w:rPr>
              <w:lastRenderedPageBreak/>
              <w:t>руководителя аттестуемого и даты проведения предыдущей аттестации.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Отзыв и аттестационный лист </w:t>
            </w:r>
            <w:hyperlink r:id="rId13" w:history="1">
              <w:r>
                <w:rPr>
                  <w:rStyle w:val="a3"/>
                  <w:color w:val="0000FF"/>
                </w:rPr>
                <w:t>передают</w:t>
              </w:r>
            </w:hyperlink>
            <w:r>
              <w:rPr>
                <w:rFonts w:ascii="Calibri" w:hAnsi="Calibri" w:cs="Arial"/>
                <w:color w:val="444444"/>
                <w:sz w:val="22"/>
                <w:szCs w:val="22"/>
              </w:rPr>
              <w:t> в комиссию не позднее чем за две недели до начала аттестации (можно в электронном виде).</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Кроме того, кадровая служба </w:t>
            </w:r>
            <w:hyperlink r:id="rId14" w:history="1">
              <w:r>
                <w:rPr>
                  <w:rStyle w:val="a3"/>
                  <w:color w:val="0000FF"/>
                </w:rPr>
                <w:t>готовит</w:t>
              </w:r>
            </w:hyperlink>
            <w:r>
              <w:rPr>
                <w:rFonts w:ascii="Calibri" w:hAnsi="Calibri" w:cs="Arial"/>
                <w:color w:val="444444"/>
                <w:sz w:val="22"/>
                <w:szCs w:val="22"/>
              </w:rPr>
              <w:t> выписку из личного дела аттестуемого. В ней должна быть информация о специальности, направлении подготовки, продолжительности стажа службы или стажа работы по специальности (направлению подготовки), включении в кадровый резерв госоргана, об участии в мероприятиях по профессиональному развитию, наличии поощрений и награждений, дисциплинарных взысканиях, а также иная значимая для аттестации информация.</w:t>
            </w:r>
          </w:p>
          <w:p w:rsidR="00465699" w:rsidRDefault="00465699">
            <w:pPr>
              <w:pStyle w:val="a4"/>
              <w:spacing w:line="270" w:lineRule="atLeast"/>
              <w:rPr>
                <w:rFonts w:ascii="Arial" w:hAnsi="Arial" w:cs="Arial"/>
                <w:color w:val="444444"/>
                <w:sz w:val="21"/>
                <w:szCs w:val="21"/>
              </w:rPr>
            </w:pPr>
            <w:r>
              <w:rPr>
                <w:rFonts w:ascii="Calibri" w:hAnsi="Calibri" w:cs="Arial"/>
                <w:b/>
                <w:bCs/>
                <w:color w:val="444444"/>
                <w:sz w:val="22"/>
                <w:szCs w:val="22"/>
              </w:rPr>
              <w:t>Оформление итогов аттестации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По действующим правилам госслужащий </w:t>
            </w:r>
            <w:hyperlink r:id="rId15" w:history="1">
              <w:r>
                <w:rPr>
                  <w:rStyle w:val="a3"/>
                  <w:color w:val="0000FF"/>
                </w:rPr>
                <w:t>должен ознакомиться</w:t>
              </w:r>
            </w:hyperlink>
            <w:r>
              <w:rPr>
                <w:rFonts w:ascii="Calibri" w:hAnsi="Calibri" w:cs="Arial"/>
                <w:color w:val="444444"/>
                <w:sz w:val="22"/>
                <w:szCs w:val="22"/>
              </w:rPr>
              <w:t> с аттестационным листом под расписку. В методике </w:t>
            </w:r>
            <w:hyperlink r:id="rId16" w:history="1">
              <w:r>
                <w:rPr>
                  <w:rStyle w:val="a3"/>
                  <w:color w:val="0000FF"/>
                </w:rPr>
                <w:t>уточнено</w:t>
              </w:r>
            </w:hyperlink>
            <w:r>
              <w:rPr>
                <w:rFonts w:ascii="Calibri" w:hAnsi="Calibri" w:cs="Arial"/>
                <w:color w:val="444444"/>
                <w:sz w:val="22"/>
                <w:szCs w:val="22"/>
              </w:rPr>
              <w:t>: если служащий отказывается подписать лист, то в нем делают соответствующую запись, которую заверяют подписями председателя и секретаря аттестационной комиссии.</w:t>
            </w:r>
          </w:p>
          <w:p w:rsidR="00465699" w:rsidRDefault="00465699">
            <w:pPr>
              <w:pStyle w:val="a4"/>
              <w:spacing w:line="270" w:lineRule="atLeast"/>
              <w:rPr>
                <w:rFonts w:ascii="Arial" w:hAnsi="Arial" w:cs="Arial"/>
                <w:color w:val="444444"/>
                <w:sz w:val="21"/>
                <w:szCs w:val="21"/>
              </w:rPr>
            </w:pPr>
            <w:r>
              <w:rPr>
                <w:rFonts w:ascii="Calibri" w:hAnsi="Calibri" w:cs="Arial"/>
                <w:b/>
                <w:bCs/>
                <w:color w:val="444444"/>
                <w:sz w:val="22"/>
                <w:szCs w:val="22"/>
              </w:rPr>
              <w:t>Внеочередная аттестация</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Провести внеочередную аттестацию </w:t>
            </w:r>
            <w:hyperlink r:id="rId17" w:history="1">
              <w:r>
                <w:rPr>
                  <w:rStyle w:val="a3"/>
                  <w:color w:val="0000FF"/>
                </w:rPr>
                <w:t>по соглашению сторон</w:t>
              </w:r>
            </w:hyperlink>
            <w:r>
              <w:rPr>
                <w:rFonts w:ascii="Calibri" w:hAnsi="Calibri" w:cs="Arial"/>
                <w:color w:val="444444"/>
                <w:sz w:val="22"/>
                <w:szCs w:val="22"/>
              </w:rPr>
              <w:t> можно </w:t>
            </w:r>
            <w:hyperlink r:id="rId18" w:history="1">
              <w:r>
                <w:rPr>
                  <w:rStyle w:val="a3"/>
                  <w:color w:val="0000FF"/>
                </w:rPr>
                <w:t>по инициативе</w:t>
              </w:r>
            </w:hyperlink>
            <w:r>
              <w:rPr>
                <w:rFonts w:ascii="Calibri" w:hAnsi="Calibri" w:cs="Arial"/>
                <w:color w:val="444444"/>
                <w:sz w:val="22"/>
                <w:szCs w:val="22"/>
              </w:rPr>
              <w:t> госслужащего или представителя нанимателя.</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Если инициатором выступает госслужащий, он </w:t>
            </w:r>
            <w:hyperlink r:id="rId19" w:history="1">
              <w:r>
                <w:rPr>
                  <w:rStyle w:val="a3"/>
                  <w:color w:val="0000FF"/>
                </w:rPr>
                <w:t>направляет</w:t>
              </w:r>
            </w:hyperlink>
            <w:r>
              <w:rPr>
                <w:rFonts w:ascii="Calibri" w:hAnsi="Calibri" w:cs="Arial"/>
                <w:color w:val="444444"/>
                <w:sz w:val="22"/>
                <w:szCs w:val="22"/>
              </w:rPr>
              <w:t> в кадровую службу заявление на имя представителя нанимателя с указанием причины внеочередной аттестации.</w:t>
            </w:r>
          </w:p>
        </w:tc>
      </w:tr>
      <w:tr w:rsidR="00465699" w:rsidTr="00465699">
        <w:trPr>
          <w:jc w:val="center"/>
        </w:trPr>
        <w:tc>
          <w:tcPr>
            <w:tcW w:w="9000" w:type="dxa"/>
            <w:shd w:val="clear" w:color="auto" w:fill="FFFFFF"/>
            <w:tcMar>
              <w:top w:w="0" w:type="dxa"/>
              <w:left w:w="375" w:type="dxa"/>
              <w:bottom w:w="0" w:type="dxa"/>
              <w:right w:w="375" w:type="dxa"/>
            </w:tcMar>
            <w:vAlign w:val="center"/>
            <w:hideMark/>
          </w:tcPr>
          <w:p w:rsidR="00465699" w:rsidRDefault="00465699">
            <w:pPr>
              <w:jc w:val="center"/>
              <w:rPr>
                <w:rFonts w:eastAsia="Times New Roman"/>
              </w:rPr>
            </w:pPr>
            <w:r>
              <w:rPr>
                <w:rFonts w:eastAsia="Times New Roman"/>
              </w:rPr>
              <w:lastRenderedPageBreak/>
              <w:pict>
                <v:rect id="_x0000_i1025" style="width:467.75pt;height:.75pt" o:hralign="center" o:hrstd="t" o:hr="t" fillcolor="gray" stroked="f"/>
              </w:pict>
            </w:r>
          </w:p>
        </w:tc>
      </w:tr>
      <w:tr w:rsidR="00465699" w:rsidTr="00465699">
        <w:trPr>
          <w:jc w:val="center"/>
        </w:trPr>
        <w:tc>
          <w:tcPr>
            <w:tcW w:w="9000" w:type="dxa"/>
            <w:shd w:val="clear" w:color="auto" w:fill="FFFFFF"/>
            <w:tcMar>
              <w:top w:w="300" w:type="dxa"/>
              <w:left w:w="450" w:type="dxa"/>
              <w:bottom w:w="150" w:type="dxa"/>
              <w:right w:w="450" w:type="dxa"/>
            </w:tcMar>
            <w:vAlign w:val="center"/>
            <w:hideMark/>
          </w:tcPr>
          <w:p w:rsidR="00465699" w:rsidRDefault="00465699">
            <w:pPr>
              <w:rPr>
                <w:rFonts w:eastAsia="Times New Roman"/>
              </w:rPr>
            </w:pPr>
            <w:hyperlink r:id="rId20" w:tgtFrame="_blank" w:history="1">
              <w:r>
                <w:rPr>
                  <w:rStyle w:val="a3"/>
                  <w:rFonts w:eastAsia="Times New Roman"/>
                  <w:b/>
                  <w:bCs/>
                  <w:color w:val="555555"/>
                  <w:sz w:val="27"/>
                  <w:szCs w:val="27"/>
                  <w:u w:val="none"/>
                </w:rPr>
                <w:t xml:space="preserve">Минздрав обновил временный порядок оказания медпомощи в условиях пандемии </w:t>
              </w:r>
            </w:hyperlink>
          </w:p>
        </w:tc>
      </w:tr>
      <w:tr w:rsidR="00465699" w:rsidTr="00465699">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65699">
              <w:tc>
                <w:tcPr>
                  <w:tcW w:w="7650" w:type="dxa"/>
                  <w:shd w:val="clear" w:color="auto" w:fill="EEEEEE"/>
                  <w:tcMar>
                    <w:top w:w="225" w:type="dxa"/>
                    <w:left w:w="225" w:type="dxa"/>
                    <w:bottom w:w="225" w:type="dxa"/>
                    <w:right w:w="225" w:type="dxa"/>
                  </w:tcMar>
                  <w:vAlign w:val="center"/>
                  <w:hideMark/>
                </w:tcPr>
                <w:p w:rsidR="00465699" w:rsidRDefault="00465699">
                  <w:pPr>
                    <w:rPr>
                      <w:rFonts w:eastAsia="Times New Roman"/>
                    </w:rPr>
                  </w:pPr>
                  <w:r>
                    <w:rPr>
                      <w:rFonts w:ascii="Arial" w:eastAsia="Times New Roman" w:hAnsi="Arial" w:cs="Arial"/>
                      <w:color w:val="444444"/>
                      <w:sz w:val="21"/>
                      <w:szCs w:val="21"/>
                    </w:rPr>
                    <w:t xml:space="preserve">Риски: с 15 сентября 2020 года и до 1 января 2021 года в медицинских организациях, где оказывают помощь амбулаторно и в условиях дневного стационара, следует временно приостановить профилактические мероприятия (диспансеризацию и профосмотры) в условиях распространения COVID-19. </w:t>
                  </w:r>
                </w:p>
              </w:tc>
            </w:tr>
          </w:tbl>
          <w:p w:rsidR="00465699" w:rsidRDefault="00465699">
            <w:pPr>
              <w:rPr>
                <w:rFonts w:eastAsia="Times New Roman"/>
                <w:sz w:val="20"/>
                <w:szCs w:val="20"/>
              </w:rPr>
            </w:pPr>
          </w:p>
        </w:tc>
      </w:tr>
      <w:tr w:rsidR="00465699" w:rsidTr="00465699">
        <w:trPr>
          <w:jc w:val="center"/>
        </w:trPr>
        <w:tc>
          <w:tcPr>
            <w:tcW w:w="9000" w:type="dxa"/>
            <w:shd w:val="clear" w:color="auto" w:fill="FFFFFF"/>
            <w:tcMar>
              <w:top w:w="300" w:type="dxa"/>
              <w:left w:w="450" w:type="dxa"/>
              <w:bottom w:w="300" w:type="dxa"/>
              <w:right w:w="450" w:type="dxa"/>
            </w:tcMar>
            <w:vAlign w:val="center"/>
            <w:hideMark/>
          </w:tcPr>
          <w:p w:rsidR="00465699" w:rsidRDefault="00465699">
            <w:pPr>
              <w:spacing w:line="270" w:lineRule="atLeast"/>
              <w:rPr>
                <w:rFonts w:ascii="Arial" w:eastAsia="Times New Roman" w:hAnsi="Arial" w:cs="Arial"/>
                <w:color w:val="444444"/>
                <w:sz w:val="21"/>
                <w:szCs w:val="21"/>
              </w:rPr>
            </w:pPr>
            <w:r>
              <w:rPr>
                <w:noProof/>
              </w:rPr>
              <w:drawing>
                <wp:anchor distT="0" distB="0" distL="142875" distR="142875" simplePos="0" relativeHeight="251660288" behindDoc="0" locked="0" layoutInCell="1" allowOverlap="0" wp14:anchorId="4FF7F60E" wp14:editId="76A76381">
                  <wp:simplePos x="0" y="0"/>
                  <wp:positionH relativeFrom="column">
                    <wp:align>left</wp:align>
                  </wp:positionH>
                  <wp:positionV relativeFrom="line">
                    <wp:posOffset>0</wp:posOffset>
                  </wp:positionV>
                  <wp:extent cx="1190625" cy="800100"/>
                  <wp:effectExtent l="0" t="0" r="9525"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Минздрав России </w:t>
            </w:r>
            <w:hyperlink r:id="rId22" w:history="1">
              <w:r>
                <w:rPr>
                  <w:rStyle w:val="a3"/>
                  <w:color w:val="0000FF"/>
                </w:rPr>
                <w:t>Приказом</w:t>
              </w:r>
            </w:hyperlink>
            <w:r>
              <w:rPr>
                <w:rFonts w:ascii="Calibri" w:hAnsi="Calibri" w:cs="Arial"/>
                <w:color w:val="444444"/>
                <w:sz w:val="22"/>
                <w:szCs w:val="22"/>
              </w:rPr>
              <w:t xml:space="preserve"> от 27.08.2020 № 905н внес поправки во временный порядок оказания медпомощи. </w:t>
            </w:r>
            <w:hyperlink r:id="rId23" w:history="1">
              <w:r>
                <w:rPr>
                  <w:rStyle w:val="a3"/>
                  <w:color w:val="0000FF"/>
                </w:rPr>
                <w:t>Изменения</w:t>
              </w:r>
            </w:hyperlink>
            <w:r>
              <w:rPr>
                <w:rFonts w:ascii="Calibri" w:hAnsi="Calibri" w:cs="Arial"/>
                <w:color w:val="444444"/>
                <w:sz w:val="22"/>
                <w:szCs w:val="22"/>
              </w:rPr>
              <w:t xml:space="preserve"> касаются деятельности медицинских организаций в условиях распространения COVID-19. Поправки вступают в силу 15 сентября 2020 года.</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Уточняется, на какой именно период медорганизации должны перестроить работу с пациентами: сделать это необходимо со дня введения региональными властями ограничений, обусловленных коронавирусом, и до дня их отмены.</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В указанный период руководителям медорганизаций, где оказывают помощь амбулаторно и в условиях дневного стационара, </w:t>
            </w:r>
            <w:hyperlink r:id="rId24" w:history="1">
              <w:r>
                <w:rPr>
                  <w:rStyle w:val="a3"/>
                  <w:color w:val="0000FF"/>
                </w:rPr>
                <w:t>следует принять</w:t>
              </w:r>
            </w:hyperlink>
            <w:r>
              <w:rPr>
                <w:rFonts w:ascii="Calibri" w:hAnsi="Calibri" w:cs="Arial"/>
                <w:color w:val="444444"/>
                <w:sz w:val="22"/>
                <w:szCs w:val="22"/>
              </w:rPr>
              <w:t xml:space="preserve"> следующие меры:</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приостановить проведение профилактических медосмотров и диспансеризации;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организовать выдачу в особом порядке направлений на госпитализацию для оказания плановой специализированной помощи и обеспечить его соблюдение. Выдавать такие направления сможет только лечащий врач медорганизации, к которой пациент прикреплен в рамках программы госгарантий, а также региональный Минздрав.</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lastRenderedPageBreak/>
              <w:t xml:space="preserve">Руководители медорганизаций, в структуре которых есть стационары, </w:t>
            </w:r>
            <w:hyperlink r:id="rId25" w:history="1">
              <w:r>
                <w:rPr>
                  <w:rStyle w:val="a3"/>
                  <w:color w:val="0000FF"/>
                </w:rPr>
                <w:t>должны следить</w:t>
              </w:r>
            </w:hyperlink>
            <w:r>
              <w:rPr>
                <w:rFonts w:ascii="Calibri" w:hAnsi="Calibri" w:cs="Arial"/>
                <w:color w:val="444444"/>
                <w:sz w:val="22"/>
                <w:szCs w:val="22"/>
              </w:rPr>
              <w:t xml:space="preserve"> за тем, чтобы госпитализация пациентов для получения плановой специализированной помощи проводилась исключительно на основании указанных выше направлений.</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Руководствоваться обновленным </w:t>
            </w:r>
            <w:hyperlink r:id="rId26" w:history="1">
              <w:r>
                <w:rPr>
                  <w:rStyle w:val="a3"/>
                  <w:color w:val="0000FF"/>
                </w:rPr>
                <w:t>порядком</w:t>
              </w:r>
            </w:hyperlink>
            <w:r>
              <w:rPr>
                <w:rFonts w:ascii="Calibri" w:hAnsi="Calibri" w:cs="Arial"/>
                <w:color w:val="444444"/>
                <w:sz w:val="22"/>
                <w:szCs w:val="22"/>
              </w:rPr>
              <w:t xml:space="preserve"> нужно до 1 января 2021 года.</w:t>
            </w:r>
          </w:p>
        </w:tc>
      </w:tr>
      <w:tr w:rsidR="00465699" w:rsidTr="00465699">
        <w:trPr>
          <w:jc w:val="center"/>
        </w:trPr>
        <w:tc>
          <w:tcPr>
            <w:tcW w:w="9000" w:type="dxa"/>
            <w:shd w:val="clear" w:color="auto" w:fill="FFFFFF"/>
            <w:tcMar>
              <w:top w:w="0" w:type="dxa"/>
              <w:left w:w="375" w:type="dxa"/>
              <w:bottom w:w="0" w:type="dxa"/>
              <w:right w:w="375" w:type="dxa"/>
            </w:tcMar>
            <w:vAlign w:val="center"/>
            <w:hideMark/>
          </w:tcPr>
          <w:p w:rsidR="00465699" w:rsidRDefault="00465699">
            <w:pPr>
              <w:jc w:val="center"/>
              <w:rPr>
                <w:rFonts w:eastAsia="Times New Roman"/>
              </w:rPr>
            </w:pPr>
            <w:r>
              <w:rPr>
                <w:rFonts w:eastAsia="Times New Roman"/>
              </w:rPr>
              <w:lastRenderedPageBreak/>
              <w:pict>
                <v:rect id="_x0000_i1026" style="width:467.75pt;height:.75pt" o:hralign="center" o:hrstd="t" o:hr="t" fillcolor="gray" stroked="f"/>
              </w:pict>
            </w:r>
          </w:p>
        </w:tc>
      </w:tr>
      <w:tr w:rsidR="00465699" w:rsidTr="00465699">
        <w:trPr>
          <w:jc w:val="center"/>
        </w:trPr>
        <w:tc>
          <w:tcPr>
            <w:tcW w:w="9000" w:type="dxa"/>
            <w:shd w:val="clear" w:color="auto" w:fill="FFFFFF"/>
            <w:tcMar>
              <w:top w:w="300" w:type="dxa"/>
              <w:left w:w="450" w:type="dxa"/>
              <w:bottom w:w="150" w:type="dxa"/>
              <w:right w:w="450" w:type="dxa"/>
            </w:tcMar>
            <w:vAlign w:val="center"/>
            <w:hideMark/>
          </w:tcPr>
          <w:p w:rsidR="00465699" w:rsidRDefault="00465699">
            <w:pPr>
              <w:rPr>
                <w:rFonts w:eastAsia="Times New Roman"/>
              </w:rPr>
            </w:pPr>
            <w:hyperlink r:id="rId27" w:tgtFrame="_blank" w:history="1">
              <w:r>
                <w:rPr>
                  <w:rStyle w:val="a3"/>
                  <w:rFonts w:eastAsia="Times New Roman"/>
                  <w:b/>
                  <w:bCs/>
                  <w:color w:val="555555"/>
                  <w:sz w:val="27"/>
                  <w:szCs w:val="27"/>
                  <w:u w:val="none"/>
                </w:rPr>
                <w:t xml:space="preserve">Выплаты за особые условия труда и допнагрузку и за сложность выполняемых задач: перечень получателей расширен </w:t>
              </w:r>
            </w:hyperlink>
          </w:p>
        </w:tc>
      </w:tr>
      <w:tr w:rsidR="00465699" w:rsidTr="00465699">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65699">
              <w:tc>
                <w:tcPr>
                  <w:tcW w:w="7650" w:type="dxa"/>
                  <w:shd w:val="clear" w:color="auto" w:fill="EEEEEE"/>
                  <w:tcMar>
                    <w:top w:w="225" w:type="dxa"/>
                    <w:left w:w="225" w:type="dxa"/>
                    <w:bottom w:w="225" w:type="dxa"/>
                    <w:right w:w="225" w:type="dxa"/>
                  </w:tcMar>
                  <w:vAlign w:val="center"/>
                  <w:hideMark/>
                </w:tcPr>
                <w:p w:rsidR="00465699" w:rsidRDefault="00465699">
                  <w:pPr>
                    <w:rPr>
                      <w:rFonts w:eastAsia="Times New Roman"/>
                    </w:rPr>
                  </w:pPr>
                  <w:r>
                    <w:rPr>
                      <w:rFonts w:ascii="Arial" w:eastAsia="Times New Roman" w:hAnsi="Arial" w:cs="Arial"/>
                      <w:color w:val="444444"/>
                      <w:sz w:val="21"/>
                      <w:szCs w:val="21"/>
                    </w:rPr>
                    <w:t xml:space="preserve">Возможности: стимулирующие выплаты за борьбу с COVID-19 получат новые категории работников. </w:t>
                  </w:r>
                </w:p>
              </w:tc>
            </w:tr>
          </w:tbl>
          <w:p w:rsidR="00465699" w:rsidRDefault="00465699">
            <w:pPr>
              <w:rPr>
                <w:rFonts w:eastAsia="Times New Roman"/>
                <w:sz w:val="20"/>
                <w:szCs w:val="20"/>
              </w:rPr>
            </w:pPr>
          </w:p>
        </w:tc>
      </w:tr>
      <w:tr w:rsidR="00465699" w:rsidTr="00465699">
        <w:trPr>
          <w:jc w:val="center"/>
        </w:trPr>
        <w:tc>
          <w:tcPr>
            <w:tcW w:w="9000" w:type="dxa"/>
            <w:shd w:val="clear" w:color="auto" w:fill="FFFFFF"/>
            <w:tcMar>
              <w:top w:w="300" w:type="dxa"/>
              <w:left w:w="450" w:type="dxa"/>
              <w:bottom w:w="300" w:type="dxa"/>
              <w:right w:w="450" w:type="dxa"/>
            </w:tcMar>
            <w:vAlign w:val="center"/>
            <w:hideMark/>
          </w:tcPr>
          <w:p w:rsidR="00465699" w:rsidRDefault="00465699">
            <w:pPr>
              <w:spacing w:line="270" w:lineRule="atLeast"/>
              <w:rPr>
                <w:rFonts w:ascii="Arial" w:eastAsia="Times New Roman" w:hAnsi="Arial" w:cs="Arial"/>
                <w:color w:val="444444"/>
                <w:sz w:val="21"/>
                <w:szCs w:val="21"/>
              </w:rPr>
            </w:pPr>
            <w:r>
              <w:rPr>
                <w:noProof/>
              </w:rPr>
              <w:drawing>
                <wp:anchor distT="0" distB="0" distL="142875" distR="142875" simplePos="0" relativeHeight="251661312" behindDoc="0" locked="0" layoutInCell="1" allowOverlap="0" wp14:anchorId="01AE7076" wp14:editId="1C1D0B87">
                  <wp:simplePos x="0" y="0"/>
                  <wp:positionH relativeFrom="column">
                    <wp:align>left</wp:align>
                  </wp:positionH>
                  <wp:positionV relativeFrom="line">
                    <wp:posOffset>0</wp:posOffset>
                  </wp:positionV>
                  <wp:extent cx="1190625" cy="790575"/>
                  <wp:effectExtent l="0" t="0" r="9525" b="9525"/>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29" w:history="1">
              <w:r>
                <w:rPr>
                  <w:rStyle w:val="a3"/>
                  <w:color w:val="0000FF"/>
                </w:rPr>
                <w:t>Постановлении</w:t>
              </w:r>
            </w:hyperlink>
            <w:r>
              <w:rPr>
                <w:rFonts w:ascii="Calibri" w:hAnsi="Calibri" w:cs="Arial"/>
                <w:color w:val="444444"/>
                <w:sz w:val="22"/>
                <w:szCs w:val="22"/>
              </w:rPr>
              <w:t xml:space="preserve"> Правительства РФ от 29.08.2020 № 1312 (далее – Постановление № 1312) определен круг лиц, которым в текущем году положены выплаты за особые условия труда и допнагрузку и выплаты за сложность выполняемых задач.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Такие надбавки предусмотрены для медиков, военнослужащих-контрактников, сотрудников организаций, которые находятся в ведении Минздрава, Минобрнауки, Минобороны, Минтруда, Минэкономразвития, МВД, Росгвардии, ФСБ, ФСИН, а также для работников МГУ им. М.В. Ломоносова. Выплаты получат те, кто </w:t>
            </w:r>
            <w:hyperlink r:id="rId30" w:history="1">
              <w:r>
                <w:rPr>
                  <w:rStyle w:val="a3"/>
                  <w:color w:val="0000FF"/>
                </w:rPr>
                <w:t>оказывает медпомощь</w:t>
              </w:r>
            </w:hyperlink>
            <w:r>
              <w:rPr>
                <w:rFonts w:ascii="Calibri" w:hAnsi="Calibri" w:cs="Arial"/>
                <w:color w:val="444444"/>
                <w:sz w:val="22"/>
                <w:szCs w:val="22"/>
              </w:rPr>
              <w:t xml:space="preserve"> пациентам с COVID-19 и лицам из групп риска заражения, а также те, кто </w:t>
            </w:r>
            <w:hyperlink r:id="rId31" w:history="1">
              <w:r>
                <w:rPr>
                  <w:rStyle w:val="a3"/>
                  <w:color w:val="0000FF"/>
                </w:rPr>
                <w:t>задействован</w:t>
              </w:r>
            </w:hyperlink>
            <w:r>
              <w:rPr>
                <w:rFonts w:ascii="Calibri" w:hAnsi="Calibri" w:cs="Arial"/>
                <w:color w:val="444444"/>
                <w:sz w:val="22"/>
                <w:szCs w:val="22"/>
              </w:rPr>
              <w:t xml:space="preserve"> в борьбе с распространением коронавирусной инфекции.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Названным категориям лиц </w:t>
            </w:r>
            <w:hyperlink r:id="rId32" w:history="1">
              <w:r>
                <w:rPr>
                  <w:rStyle w:val="a3"/>
                  <w:color w:val="0000FF"/>
                </w:rPr>
                <w:t>установят</w:t>
              </w:r>
            </w:hyperlink>
            <w:r>
              <w:rPr>
                <w:rFonts w:ascii="Calibri" w:hAnsi="Calibri" w:cs="Arial"/>
                <w:color w:val="444444"/>
                <w:sz w:val="22"/>
                <w:szCs w:val="22"/>
              </w:rPr>
              <w:t xml:space="preserve"> один вид стимулирующих выплат из указанных выше: выплату за особые условия труда и допнагрузку либо выплату за сложность выполняемых задач.</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По общему правилу размер надбавки </w:t>
            </w:r>
            <w:hyperlink r:id="rId33" w:history="1">
              <w:r>
                <w:rPr>
                  <w:rStyle w:val="a3"/>
                  <w:color w:val="0000FF"/>
                </w:rPr>
                <w:t>составит</w:t>
              </w:r>
            </w:hyperlink>
            <w:r>
              <w:rPr>
                <w:rFonts w:ascii="Calibri" w:hAnsi="Calibri" w:cs="Arial"/>
                <w:color w:val="444444"/>
                <w:sz w:val="22"/>
                <w:szCs w:val="22"/>
              </w:rPr>
              <w:t xml:space="preserve"> от 20% до 100% среднемесячного дохода от трудовой деятельности в соответствующем регионе за 9 месяцев 2019 года по данным Росстата. Величина надбавки будет зависеть от занимаемой должности. Правило справедливо для работников организаций, подведомственных федеральным органам исполнительной власти, и работников МГУ им. М.В. Ломоносова.</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Деньги </w:t>
            </w:r>
            <w:hyperlink r:id="rId34" w:history="1">
              <w:r>
                <w:rPr>
                  <w:rStyle w:val="a3"/>
                  <w:color w:val="0000FF"/>
                </w:rPr>
                <w:t>выплатят</w:t>
              </w:r>
            </w:hyperlink>
            <w:r>
              <w:rPr>
                <w:rFonts w:ascii="Calibri" w:hAnsi="Calibri" w:cs="Arial"/>
                <w:color w:val="444444"/>
                <w:sz w:val="22"/>
                <w:szCs w:val="22"/>
              </w:rPr>
              <w:t xml:space="preserve"> за период с 1 апреля 2020 года, но не ранее даты регистрации в регионе подтвержденного случая COVID-19. При этом учитывается фактически отработанное время, время исполнения обязанностей военной службы (выполнения служебных обязанностей).</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В соответствии с </w:t>
            </w:r>
            <w:hyperlink r:id="rId35" w:history="1">
              <w:r>
                <w:rPr>
                  <w:rStyle w:val="a3"/>
                  <w:color w:val="0000FF"/>
                </w:rPr>
                <w:t>Распоряжением</w:t>
              </w:r>
            </w:hyperlink>
            <w:r>
              <w:rPr>
                <w:rFonts w:ascii="Calibri" w:hAnsi="Calibri" w:cs="Arial"/>
                <w:color w:val="444444"/>
                <w:sz w:val="22"/>
                <w:szCs w:val="22"/>
              </w:rPr>
              <w:t xml:space="preserve"> Правительства РФ от 29.08.2020 № 2199-р на выплату стимулирующих надбавок Правительство уже выделило из резервного фонда свыше 5 млрд руб.</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Постановление № 1312 вступило в силу 12 сентября 2020 года.</w:t>
            </w:r>
          </w:p>
        </w:tc>
      </w:tr>
      <w:tr w:rsidR="00465699" w:rsidTr="00465699">
        <w:trPr>
          <w:jc w:val="center"/>
        </w:trPr>
        <w:tc>
          <w:tcPr>
            <w:tcW w:w="9000" w:type="dxa"/>
            <w:shd w:val="clear" w:color="auto" w:fill="FFFFFF"/>
            <w:tcMar>
              <w:top w:w="0" w:type="dxa"/>
              <w:left w:w="375" w:type="dxa"/>
              <w:bottom w:w="0" w:type="dxa"/>
              <w:right w:w="375" w:type="dxa"/>
            </w:tcMar>
            <w:vAlign w:val="center"/>
            <w:hideMark/>
          </w:tcPr>
          <w:p w:rsidR="00465699" w:rsidRDefault="00465699">
            <w:pPr>
              <w:jc w:val="center"/>
              <w:rPr>
                <w:rFonts w:eastAsia="Times New Roman"/>
              </w:rPr>
            </w:pPr>
            <w:r>
              <w:rPr>
                <w:rFonts w:eastAsia="Times New Roman"/>
              </w:rPr>
              <w:pict>
                <v:rect id="_x0000_i1027" style="width:467.75pt;height:.75pt" o:hralign="center" o:hrstd="t" o:hr="t" fillcolor="gray" stroked="f"/>
              </w:pict>
            </w:r>
          </w:p>
          <w:p w:rsidR="00465699" w:rsidRDefault="00465699">
            <w:pPr>
              <w:jc w:val="center"/>
              <w:rPr>
                <w:rFonts w:eastAsia="Times New Roman"/>
              </w:rPr>
            </w:pPr>
          </w:p>
          <w:p w:rsidR="00465699" w:rsidRDefault="00465699">
            <w:pPr>
              <w:jc w:val="center"/>
              <w:rPr>
                <w:rFonts w:eastAsia="Times New Roman"/>
              </w:rPr>
            </w:pPr>
          </w:p>
          <w:p w:rsidR="00465699" w:rsidRDefault="00465699">
            <w:pPr>
              <w:jc w:val="center"/>
              <w:rPr>
                <w:rFonts w:eastAsia="Times New Roman"/>
              </w:rPr>
            </w:pPr>
          </w:p>
          <w:p w:rsidR="00465699" w:rsidRDefault="00465699">
            <w:pPr>
              <w:jc w:val="center"/>
              <w:rPr>
                <w:rFonts w:eastAsia="Times New Roman"/>
              </w:rPr>
            </w:pPr>
          </w:p>
          <w:p w:rsidR="00465699" w:rsidRDefault="00465699">
            <w:pPr>
              <w:jc w:val="center"/>
              <w:rPr>
                <w:rFonts w:eastAsia="Times New Roman"/>
              </w:rPr>
            </w:pPr>
          </w:p>
          <w:p w:rsidR="00465699" w:rsidRDefault="00465699">
            <w:pPr>
              <w:jc w:val="center"/>
              <w:rPr>
                <w:rFonts w:eastAsia="Times New Roman"/>
              </w:rPr>
            </w:pPr>
            <w:bookmarkStart w:id="0" w:name="_GoBack"/>
            <w:bookmarkEnd w:id="0"/>
          </w:p>
        </w:tc>
      </w:tr>
      <w:tr w:rsidR="00465699" w:rsidTr="00465699">
        <w:trPr>
          <w:jc w:val="center"/>
        </w:trPr>
        <w:tc>
          <w:tcPr>
            <w:tcW w:w="9000" w:type="dxa"/>
            <w:shd w:val="clear" w:color="auto" w:fill="D0D1D3"/>
            <w:tcMar>
              <w:top w:w="300" w:type="dxa"/>
              <w:left w:w="300" w:type="dxa"/>
              <w:bottom w:w="300" w:type="dxa"/>
              <w:right w:w="300" w:type="dxa"/>
            </w:tcMar>
            <w:vAlign w:val="center"/>
            <w:hideMark/>
          </w:tcPr>
          <w:p w:rsidR="00465699" w:rsidRDefault="00465699">
            <w:pPr>
              <w:rPr>
                <w:rFonts w:ascii="Arial" w:eastAsia="Times New Roman" w:hAnsi="Arial" w:cs="Arial"/>
                <w:sz w:val="27"/>
                <w:szCs w:val="27"/>
              </w:rPr>
            </w:pPr>
            <w:r>
              <w:rPr>
                <w:rFonts w:ascii="Arial" w:eastAsia="Times New Roman" w:hAnsi="Arial" w:cs="Arial"/>
                <w:sz w:val="27"/>
                <w:szCs w:val="27"/>
              </w:rPr>
              <w:lastRenderedPageBreak/>
              <w:t xml:space="preserve">ВАЖНО ЗНАТЬ БУХГАЛТЕРУ </w:t>
            </w:r>
          </w:p>
        </w:tc>
      </w:tr>
      <w:tr w:rsidR="00465699" w:rsidTr="00465699">
        <w:trPr>
          <w:jc w:val="center"/>
        </w:trPr>
        <w:tc>
          <w:tcPr>
            <w:tcW w:w="9000" w:type="dxa"/>
            <w:shd w:val="clear" w:color="auto" w:fill="FFFFFF"/>
            <w:tcMar>
              <w:top w:w="300" w:type="dxa"/>
              <w:left w:w="450" w:type="dxa"/>
              <w:bottom w:w="150" w:type="dxa"/>
              <w:right w:w="450" w:type="dxa"/>
            </w:tcMar>
            <w:vAlign w:val="center"/>
            <w:hideMark/>
          </w:tcPr>
          <w:p w:rsidR="00465699" w:rsidRDefault="00465699">
            <w:pPr>
              <w:rPr>
                <w:rFonts w:eastAsia="Times New Roman"/>
              </w:rPr>
            </w:pPr>
            <w:hyperlink r:id="rId36" w:tgtFrame="_blank" w:history="1">
              <w:r>
                <w:rPr>
                  <w:rStyle w:val="a3"/>
                  <w:rFonts w:eastAsia="Times New Roman"/>
                  <w:b/>
                  <w:bCs/>
                  <w:color w:val="555555"/>
                  <w:sz w:val="27"/>
                  <w:szCs w:val="27"/>
                  <w:u w:val="none"/>
                </w:rPr>
                <w:t xml:space="preserve">Утверждены новые формы билета, абонемента и экскурсионной путевки </w:t>
              </w:r>
            </w:hyperlink>
          </w:p>
        </w:tc>
      </w:tr>
      <w:tr w:rsidR="00465699" w:rsidTr="00465699">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65699">
              <w:tc>
                <w:tcPr>
                  <w:tcW w:w="7650" w:type="dxa"/>
                  <w:shd w:val="clear" w:color="auto" w:fill="EEEEEE"/>
                  <w:tcMar>
                    <w:top w:w="225" w:type="dxa"/>
                    <w:left w:w="225" w:type="dxa"/>
                    <w:bottom w:w="225" w:type="dxa"/>
                    <w:right w:w="225" w:type="dxa"/>
                  </w:tcMar>
                  <w:vAlign w:val="center"/>
                  <w:hideMark/>
                </w:tcPr>
                <w:p w:rsidR="00465699" w:rsidRDefault="00465699">
                  <w:pPr>
                    <w:rPr>
                      <w:rFonts w:eastAsia="Times New Roman"/>
                    </w:rPr>
                  </w:pPr>
                  <w:r>
                    <w:rPr>
                      <w:rFonts w:ascii="Arial" w:eastAsia="Times New Roman" w:hAnsi="Arial" w:cs="Arial"/>
                      <w:color w:val="444444"/>
                      <w:sz w:val="21"/>
                      <w:szCs w:val="21"/>
                    </w:rPr>
                    <w:t>Риски: с 18 сентября 2020 года действуют новые формы бланков строгой отчетности для учреждений культуры.</w:t>
                  </w:r>
                  <w:r>
                    <w:rPr>
                      <w:rFonts w:ascii="Arial" w:eastAsia="Times New Roman" w:hAnsi="Arial" w:cs="Arial"/>
                      <w:color w:val="444444"/>
                      <w:sz w:val="21"/>
                      <w:szCs w:val="21"/>
                    </w:rPr>
                    <w:br/>
                    <w:t xml:space="preserve">Возможности: старые формы БСО могут быть реализованы до 1 июля 2022 года. </w:t>
                  </w:r>
                </w:p>
              </w:tc>
            </w:tr>
          </w:tbl>
          <w:p w:rsidR="00465699" w:rsidRDefault="00465699">
            <w:pPr>
              <w:rPr>
                <w:rFonts w:eastAsia="Times New Roman"/>
                <w:sz w:val="20"/>
                <w:szCs w:val="20"/>
              </w:rPr>
            </w:pPr>
          </w:p>
        </w:tc>
      </w:tr>
      <w:tr w:rsidR="00465699" w:rsidTr="00465699">
        <w:trPr>
          <w:jc w:val="center"/>
        </w:trPr>
        <w:tc>
          <w:tcPr>
            <w:tcW w:w="9000" w:type="dxa"/>
            <w:shd w:val="clear" w:color="auto" w:fill="FFFFFF"/>
            <w:tcMar>
              <w:top w:w="300" w:type="dxa"/>
              <w:left w:w="450" w:type="dxa"/>
              <w:bottom w:w="300" w:type="dxa"/>
              <w:right w:w="450" w:type="dxa"/>
            </w:tcMar>
            <w:vAlign w:val="center"/>
            <w:hideMark/>
          </w:tcPr>
          <w:p w:rsidR="00465699" w:rsidRDefault="00465699">
            <w:pPr>
              <w:spacing w:line="270" w:lineRule="atLeast"/>
              <w:rPr>
                <w:rFonts w:ascii="Arial" w:eastAsia="Times New Roman" w:hAnsi="Arial" w:cs="Arial"/>
                <w:color w:val="444444"/>
                <w:sz w:val="21"/>
                <w:szCs w:val="21"/>
              </w:rPr>
            </w:pPr>
            <w:r>
              <w:rPr>
                <w:noProof/>
              </w:rPr>
              <w:drawing>
                <wp:anchor distT="0" distB="0" distL="142875" distR="142875" simplePos="0" relativeHeight="251662336" behindDoc="0" locked="0" layoutInCell="1" allowOverlap="0" wp14:anchorId="4D0BF6F8" wp14:editId="5F0E5CFC">
                  <wp:simplePos x="0" y="0"/>
                  <wp:positionH relativeFrom="column">
                    <wp:align>left</wp:align>
                  </wp:positionH>
                  <wp:positionV relativeFrom="line">
                    <wp:posOffset>0</wp:posOffset>
                  </wp:positionV>
                  <wp:extent cx="1190625" cy="990600"/>
                  <wp:effectExtent l="0" t="0" r="9525" b="0"/>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0625" cy="9906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465699" w:rsidRDefault="00465699">
            <w:pPr>
              <w:pStyle w:val="a4"/>
              <w:spacing w:line="270" w:lineRule="atLeast"/>
              <w:rPr>
                <w:rFonts w:ascii="Arial" w:hAnsi="Arial" w:cs="Arial"/>
                <w:color w:val="444444"/>
                <w:sz w:val="21"/>
                <w:szCs w:val="21"/>
              </w:rPr>
            </w:pPr>
            <w:hyperlink r:id="rId38" w:history="1">
              <w:r>
                <w:rPr>
                  <w:rStyle w:val="a3"/>
                  <w:color w:val="0000FF"/>
                </w:rPr>
                <w:t>Приказом</w:t>
              </w:r>
            </w:hyperlink>
            <w:r>
              <w:rPr>
                <w:rFonts w:ascii="Calibri" w:hAnsi="Calibri" w:cs="Arial"/>
                <w:color w:val="444444"/>
                <w:sz w:val="22"/>
                <w:szCs w:val="22"/>
              </w:rPr>
              <w:t xml:space="preserve"> Минкультуры России от 29.06.2020 № 702 введены новые формы </w:t>
            </w:r>
            <w:hyperlink r:id="rId39" w:history="1">
              <w:r>
                <w:rPr>
                  <w:rStyle w:val="a3"/>
                  <w:color w:val="0000FF"/>
                </w:rPr>
                <w:t>билета</w:t>
              </w:r>
            </w:hyperlink>
            <w:r>
              <w:rPr>
                <w:rFonts w:ascii="Calibri" w:hAnsi="Calibri" w:cs="Arial"/>
                <w:color w:val="444444"/>
                <w:sz w:val="22"/>
                <w:szCs w:val="22"/>
              </w:rPr>
              <w:t xml:space="preserve">, </w:t>
            </w:r>
            <w:hyperlink r:id="rId40" w:history="1">
              <w:r>
                <w:rPr>
                  <w:rStyle w:val="a3"/>
                  <w:color w:val="0000FF"/>
                </w:rPr>
                <w:t>абонемента</w:t>
              </w:r>
            </w:hyperlink>
            <w:r>
              <w:rPr>
                <w:rFonts w:ascii="Calibri" w:hAnsi="Calibri" w:cs="Arial"/>
                <w:color w:val="444444"/>
                <w:sz w:val="22"/>
                <w:szCs w:val="22"/>
              </w:rPr>
              <w:t xml:space="preserve"> и экскурсионной </w:t>
            </w:r>
            <w:hyperlink r:id="rId41" w:history="1">
              <w:r>
                <w:rPr>
                  <w:rStyle w:val="a3"/>
                  <w:color w:val="0000FF"/>
                </w:rPr>
                <w:t>путевки</w:t>
              </w:r>
            </w:hyperlink>
            <w:r>
              <w:rPr>
                <w:rFonts w:ascii="Calibri" w:hAnsi="Calibri" w:cs="Arial"/>
                <w:color w:val="444444"/>
                <w:sz w:val="22"/>
                <w:szCs w:val="22"/>
              </w:rPr>
              <w:t xml:space="preserve"> (в том числе электронные) на проводимые организациями исполнительских искусств и музеями зрелищные мероприятия.</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Приказ Минкультуры вступает в силу 18 сентября 2020 года. С этой же даты </w:t>
            </w:r>
            <w:hyperlink r:id="rId42" w:history="1">
              <w:r>
                <w:rPr>
                  <w:rStyle w:val="a3"/>
                  <w:color w:val="0000FF"/>
                </w:rPr>
                <w:t>утрачивают силу</w:t>
              </w:r>
            </w:hyperlink>
            <w:r>
              <w:rPr>
                <w:rFonts w:ascii="Calibri" w:hAnsi="Calibri" w:cs="Arial"/>
                <w:color w:val="444444"/>
                <w:sz w:val="22"/>
                <w:szCs w:val="22"/>
              </w:rPr>
              <w:t> прежние формы БСО.</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Однако для организаций, которые обязаны внедрить новшества, предусмотрен переходный период. Они вправе продолжать реализовывать бланки по старой форме </w:t>
            </w:r>
            <w:hyperlink r:id="rId43" w:history="1">
              <w:r>
                <w:rPr>
                  <w:rStyle w:val="a3"/>
                  <w:color w:val="0000FF"/>
                </w:rPr>
                <w:t>до 1 июля 2022 года</w:t>
              </w:r>
            </w:hyperlink>
            <w:r>
              <w:rPr>
                <w:rFonts w:ascii="Calibri" w:hAnsi="Calibri" w:cs="Arial"/>
                <w:color w:val="444444"/>
                <w:sz w:val="22"/>
                <w:szCs w:val="22"/>
              </w:rPr>
              <w:t>.</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Также ведомство утвердило форму ваучера на перенесенное зрелищное мероприятие.</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Новые формы могут применяться наравне с ранее утвержденными формами билетов, абонементов и экскурсионных путевок.</w:t>
            </w:r>
          </w:p>
        </w:tc>
      </w:tr>
      <w:tr w:rsidR="00465699" w:rsidTr="00465699">
        <w:trPr>
          <w:jc w:val="center"/>
        </w:trPr>
        <w:tc>
          <w:tcPr>
            <w:tcW w:w="9000" w:type="dxa"/>
            <w:shd w:val="clear" w:color="auto" w:fill="FFFFFF"/>
            <w:tcMar>
              <w:top w:w="0" w:type="dxa"/>
              <w:left w:w="375" w:type="dxa"/>
              <w:bottom w:w="0" w:type="dxa"/>
              <w:right w:w="375" w:type="dxa"/>
            </w:tcMar>
            <w:vAlign w:val="center"/>
            <w:hideMark/>
          </w:tcPr>
          <w:p w:rsidR="00465699" w:rsidRDefault="00465699">
            <w:pPr>
              <w:jc w:val="center"/>
              <w:rPr>
                <w:rFonts w:eastAsia="Times New Roman"/>
              </w:rPr>
            </w:pPr>
            <w:r>
              <w:rPr>
                <w:rFonts w:eastAsia="Times New Roman"/>
              </w:rPr>
              <w:pict>
                <v:rect id="_x0000_i1028" style="width:467.75pt;height:.75pt" o:hralign="center" o:hrstd="t" o:hr="t" fillcolor="gray" stroked="f"/>
              </w:pict>
            </w:r>
          </w:p>
        </w:tc>
      </w:tr>
      <w:tr w:rsidR="00465699" w:rsidTr="00465699">
        <w:trPr>
          <w:jc w:val="center"/>
        </w:trPr>
        <w:tc>
          <w:tcPr>
            <w:tcW w:w="9000" w:type="dxa"/>
            <w:shd w:val="clear" w:color="auto" w:fill="FFFFFF"/>
            <w:tcMar>
              <w:top w:w="300" w:type="dxa"/>
              <w:left w:w="450" w:type="dxa"/>
              <w:bottom w:w="150" w:type="dxa"/>
              <w:right w:w="450" w:type="dxa"/>
            </w:tcMar>
            <w:vAlign w:val="center"/>
            <w:hideMark/>
          </w:tcPr>
          <w:p w:rsidR="00465699" w:rsidRDefault="00465699">
            <w:pPr>
              <w:rPr>
                <w:rFonts w:eastAsia="Times New Roman"/>
              </w:rPr>
            </w:pPr>
            <w:hyperlink r:id="rId44" w:tgtFrame="_blank" w:history="1">
              <w:r>
                <w:rPr>
                  <w:rStyle w:val="a3"/>
                  <w:rFonts w:eastAsia="Times New Roman"/>
                  <w:b/>
                  <w:bCs/>
                  <w:color w:val="555555"/>
                  <w:sz w:val="27"/>
                  <w:szCs w:val="27"/>
                  <w:u w:val="none"/>
                </w:rPr>
                <w:t xml:space="preserve">Расходы на судебную экспертизу: как правильно отразить в учете </w:t>
              </w:r>
            </w:hyperlink>
          </w:p>
        </w:tc>
      </w:tr>
      <w:tr w:rsidR="00465699" w:rsidTr="00465699">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65699">
              <w:tc>
                <w:tcPr>
                  <w:tcW w:w="7650" w:type="dxa"/>
                  <w:shd w:val="clear" w:color="auto" w:fill="EEEEEE"/>
                  <w:tcMar>
                    <w:top w:w="225" w:type="dxa"/>
                    <w:left w:w="225" w:type="dxa"/>
                    <w:bottom w:w="225" w:type="dxa"/>
                    <w:right w:w="225" w:type="dxa"/>
                  </w:tcMar>
                  <w:vAlign w:val="center"/>
                  <w:hideMark/>
                </w:tcPr>
                <w:p w:rsidR="00465699" w:rsidRDefault="00465699">
                  <w:pPr>
                    <w:rPr>
                      <w:rFonts w:eastAsia="Times New Roman"/>
                    </w:rPr>
                  </w:pPr>
                  <w:r>
                    <w:rPr>
                      <w:rFonts w:ascii="Arial" w:eastAsia="Times New Roman" w:hAnsi="Arial" w:cs="Arial"/>
                      <w:color w:val="444444"/>
                      <w:sz w:val="21"/>
                      <w:szCs w:val="21"/>
                    </w:rPr>
                    <w:t xml:space="preserve">Возможности: ознакомиться с позицией Минфина в части отражения в учете судебных расходов на проведение экспертизы. </w:t>
                  </w:r>
                </w:p>
              </w:tc>
            </w:tr>
          </w:tbl>
          <w:p w:rsidR="00465699" w:rsidRDefault="00465699">
            <w:pPr>
              <w:rPr>
                <w:rFonts w:eastAsia="Times New Roman"/>
                <w:sz w:val="20"/>
                <w:szCs w:val="20"/>
              </w:rPr>
            </w:pPr>
          </w:p>
        </w:tc>
      </w:tr>
      <w:tr w:rsidR="00465699" w:rsidTr="00465699">
        <w:trPr>
          <w:jc w:val="center"/>
        </w:trPr>
        <w:tc>
          <w:tcPr>
            <w:tcW w:w="9000" w:type="dxa"/>
            <w:shd w:val="clear" w:color="auto" w:fill="FFFFFF"/>
            <w:tcMar>
              <w:top w:w="300" w:type="dxa"/>
              <w:left w:w="450" w:type="dxa"/>
              <w:bottom w:w="300" w:type="dxa"/>
              <w:right w:w="450" w:type="dxa"/>
            </w:tcMar>
            <w:vAlign w:val="center"/>
            <w:hideMark/>
          </w:tcPr>
          <w:p w:rsidR="00465699" w:rsidRDefault="00465699">
            <w:pPr>
              <w:spacing w:line="270" w:lineRule="atLeast"/>
              <w:rPr>
                <w:rFonts w:ascii="Arial" w:eastAsia="Times New Roman" w:hAnsi="Arial" w:cs="Arial"/>
                <w:color w:val="444444"/>
                <w:sz w:val="21"/>
                <w:szCs w:val="21"/>
              </w:rPr>
            </w:pPr>
            <w:r>
              <w:rPr>
                <w:noProof/>
              </w:rPr>
              <w:drawing>
                <wp:anchor distT="0" distB="0" distL="142875" distR="142875" simplePos="0" relativeHeight="251663360" behindDoc="0" locked="0" layoutInCell="1" allowOverlap="0" wp14:anchorId="4398A851" wp14:editId="527E0C28">
                  <wp:simplePos x="0" y="0"/>
                  <wp:positionH relativeFrom="column">
                    <wp:align>left</wp:align>
                  </wp:positionH>
                  <wp:positionV relativeFrom="line">
                    <wp:posOffset>0</wp:posOffset>
                  </wp:positionV>
                  <wp:extent cx="1190625" cy="80010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46" w:history="1">
              <w:r>
                <w:rPr>
                  <w:rStyle w:val="a3"/>
                  <w:color w:val="0000FF"/>
                </w:rPr>
                <w:t>Письме</w:t>
              </w:r>
            </w:hyperlink>
            <w:r>
              <w:rPr>
                <w:rFonts w:ascii="Calibri" w:hAnsi="Calibri" w:cs="Arial"/>
                <w:color w:val="444444"/>
                <w:sz w:val="22"/>
                <w:szCs w:val="22"/>
              </w:rPr>
              <w:t xml:space="preserve"> от 24.07.2020 № 02-06-10/65074 разъяснил, как отразить в учете расходы на выплату вознаграждения экспертам.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Подав ходатайство о проведении судебной экспертизы в арбитражном процессе, учреждение должно внести на депозитный счет суда деньги для выплаты вознаграждения экспертам. Такие затраты отражаются следующим образом:</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Дебет 1 401 20 297 Кредит 1 302 97 731 – отражены расходы по судебным издержкам на сумму вознаграждения эксперту на основании определения суда;</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Дебет 1 302 97 831 Кредит 1 304 05 297 – перечислены деньги на депозитный счет арбитражного суда.</w:t>
            </w:r>
          </w:p>
        </w:tc>
      </w:tr>
      <w:tr w:rsidR="00465699" w:rsidTr="00465699">
        <w:trPr>
          <w:jc w:val="center"/>
        </w:trPr>
        <w:tc>
          <w:tcPr>
            <w:tcW w:w="9000" w:type="dxa"/>
            <w:shd w:val="clear" w:color="auto" w:fill="FFFFFF"/>
            <w:tcMar>
              <w:top w:w="0" w:type="dxa"/>
              <w:left w:w="375" w:type="dxa"/>
              <w:bottom w:w="0" w:type="dxa"/>
              <w:right w:w="375" w:type="dxa"/>
            </w:tcMar>
            <w:vAlign w:val="center"/>
            <w:hideMark/>
          </w:tcPr>
          <w:p w:rsidR="00465699" w:rsidRDefault="00465699">
            <w:pPr>
              <w:jc w:val="center"/>
              <w:rPr>
                <w:rFonts w:eastAsia="Times New Roman"/>
              </w:rPr>
            </w:pPr>
            <w:r>
              <w:rPr>
                <w:rFonts w:eastAsia="Times New Roman"/>
              </w:rPr>
              <w:pict>
                <v:rect id="_x0000_i1029" style="width:467.75pt;height:.75pt" o:hralign="center" o:hrstd="t" o:hr="t" fillcolor="gray" stroked="f"/>
              </w:pict>
            </w:r>
          </w:p>
        </w:tc>
      </w:tr>
      <w:tr w:rsidR="00465699" w:rsidTr="00465699">
        <w:trPr>
          <w:jc w:val="center"/>
        </w:trPr>
        <w:tc>
          <w:tcPr>
            <w:tcW w:w="9000" w:type="dxa"/>
            <w:shd w:val="clear" w:color="auto" w:fill="FFFFFF"/>
            <w:tcMar>
              <w:top w:w="300" w:type="dxa"/>
              <w:left w:w="450" w:type="dxa"/>
              <w:bottom w:w="150" w:type="dxa"/>
              <w:right w:w="450" w:type="dxa"/>
            </w:tcMar>
            <w:vAlign w:val="center"/>
            <w:hideMark/>
          </w:tcPr>
          <w:p w:rsidR="00465699" w:rsidRDefault="00465699">
            <w:pPr>
              <w:rPr>
                <w:rFonts w:eastAsia="Times New Roman"/>
              </w:rPr>
            </w:pPr>
            <w:hyperlink r:id="rId47" w:tgtFrame="_blank" w:history="1">
              <w:r>
                <w:rPr>
                  <w:rStyle w:val="a3"/>
                  <w:rFonts w:eastAsia="Times New Roman"/>
                  <w:b/>
                  <w:bCs/>
                  <w:color w:val="555555"/>
                  <w:sz w:val="27"/>
                  <w:szCs w:val="27"/>
                  <w:u w:val="none"/>
                </w:rPr>
                <w:t xml:space="preserve">Обновлена таблица соответствия разделов, подразделов и КВР </w:t>
              </w:r>
            </w:hyperlink>
          </w:p>
        </w:tc>
      </w:tr>
      <w:tr w:rsidR="00465699" w:rsidTr="00465699">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65699">
              <w:tc>
                <w:tcPr>
                  <w:tcW w:w="7650" w:type="dxa"/>
                  <w:shd w:val="clear" w:color="auto" w:fill="EEEEEE"/>
                  <w:tcMar>
                    <w:top w:w="225" w:type="dxa"/>
                    <w:left w:w="225" w:type="dxa"/>
                    <w:bottom w:w="225" w:type="dxa"/>
                    <w:right w:w="225" w:type="dxa"/>
                  </w:tcMar>
                  <w:vAlign w:val="center"/>
                  <w:hideMark/>
                </w:tcPr>
                <w:p w:rsidR="00465699" w:rsidRDefault="00465699">
                  <w:pPr>
                    <w:rPr>
                      <w:rFonts w:eastAsia="Times New Roman"/>
                    </w:rPr>
                  </w:pPr>
                  <w:r>
                    <w:rPr>
                      <w:rFonts w:ascii="Arial" w:eastAsia="Times New Roman" w:hAnsi="Arial" w:cs="Arial"/>
                      <w:color w:val="444444"/>
                      <w:sz w:val="21"/>
                      <w:szCs w:val="21"/>
                    </w:rPr>
                    <w:t xml:space="preserve">Возможности: Минфин опубликовал таблицу соответствия разделов (подразделов) и видов расходов, которую нужно применять при составлении и исполнении федерального бюджета на 2021 год и плановый период 2022 и 2023 годов. </w:t>
                  </w:r>
                </w:p>
              </w:tc>
            </w:tr>
          </w:tbl>
          <w:p w:rsidR="00465699" w:rsidRDefault="00465699">
            <w:pPr>
              <w:rPr>
                <w:rFonts w:eastAsia="Times New Roman"/>
                <w:sz w:val="20"/>
                <w:szCs w:val="20"/>
              </w:rPr>
            </w:pPr>
          </w:p>
        </w:tc>
      </w:tr>
      <w:tr w:rsidR="00465699" w:rsidTr="00465699">
        <w:trPr>
          <w:jc w:val="center"/>
        </w:trPr>
        <w:tc>
          <w:tcPr>
            <w:tcW w:w="9000" w:type="dxa"/>
            <w:shd w:val="clear" w:color="auto" w:fill="FFFFFF"/>
            <w:tcMar>
              <w:top w:w="300" w:type="dxa"/>
              <w:left w:w="450" w:type="dxa"/>
              <w:bottom w:w="300" w:type="dxa"/>
              <w:right w:w="450" w:type="dxa"/>
            </w:tcMar>
            <w:vAlign w:val="center"/>
            <w:hideMark/>
          </w:tcPr>
          <w:p w:rsidR="00465699" w:rsidRDefault="00465699">
            <w:pPr>
              <w:spacing w:line="270" w:lineRule="atLeast"/>
              <w:rPr>
                <w:rFonts w:ascii="Arial" w:eastAsia="Times New Roman" w:hAnsi="Arial" w:cs="Arial"/>
                <w:color w:val="444444"/>
                <w:sz w:val="21"/>
                <w:szCs w:val="21"/>
              </w:rPr>
            </w:pPr>
            <w:r>
              <w:rPr>
                <w:noProof/>
              </w:rPr>
              <w:drawing>
                <wp:anchor distT="0" distB="0" distL="142875" distR="142875" simplePos="0" relativeHeight="251664384" behindDoc="0" locked="0" layoutInCell="1" allowOverlap="0" wp14:anchorId="1E62352D" wp14:editId="389EBD9D">
                  <wp:simplePos x="0" y="0"/>
                  <wp:positionH relativeFrom="column">
                    <wp:align>left</wp:align>
                  </wp:positionH>
                  <wp:positionV relativeFrom="line">
                    <wp:posOffset>0</wp:posOffset>
                  </wp:positionV>
                  <wp:extent cx="1190625" cy="676275"/>
                  <wp:effectExtent l="0" t="0" r="9525" b="9525"/>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Утвержденная Минфином России </w:t>
            </w:r>
            <w:hyperlink r:id="rId49" w:history="1">
              <w:r>
                <w:rPr>
                  <w:rStyle w:val="a3"/>
                  <w:color w:val="0000FF"/>
                </w:rPr>
                <w:t>таблица</w:t>
              </w:r>
            </w:hyperlink>
            <w:r>
              <w:rPr>
                <w:rFonts w:ascii="Calibri" w:hAnsi="Calibri" w:cs="Arial"/>
                <w:color w:val="444444"/>
                <w:sz w:val="22"/>
                <w:szCs w:val="22"/>
              </w:rPr>
              <w:t xml:space="preserve"> соответствия разделов (подразделов) и видов расходов классификации расходов бюджетов немногим отличается от той, что предусмотрена на текущий год. К примеру, в новой есть соответствия для КВР 246 «Закупка товаров, работ, услуг в целях создания, развития, эксплуатации и вывода из эксплуатации государственных информационных систем» и 247 «Закупка энергетических ресурсов».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Также установлены соответствия для КВР 614 и 624, по которым отражаются субсидии на госзадание бюджетным и автономным учреждениям в рамках </w:t>
            </w:r>
            <w:hyperlink r:id="rId50" w:history="1">
              <w:r>
                <w:rPr>
                  <w:rStyle w:val="a3"/>
                  <w:color w:val="0000FF"/>
                </w:rPr>
                <w:t>соцзаказа</w:t>
              </w:r>
            </w:hyperlink>
            <w:r>
              <w:rPr>
                <w:rFonts w:ascii="Calibri" w:hAnsi="Calibri" w:cs="Arial"/>
                <w:color w:val="444444"/>
                <w:sz w:val="22"/>
                <w:szCs w:val="22"/>
              </w:rPr>
              <w:t xml:space="preserve">. Ранее соотношения для данных кодов </w:t>
            </w:r>
            <w:hyperlink r:id="rId51" w:history="1">
              <w:r>
                <w:rPr>
                  <w:rStyle w:val="a3"/>
                  <w:color w:val="0000FF"/>
                </w:rPr>
                <w:t>внесли</w:t>
              </w:r>
            </w:hyperlink>
            <w:r>
              <w:rPr>
                <w:rFonts w:ascii="Calibri" w:hAnsi="Calibri" w:cs="Arial"/>
                <w:color w:val="444444"/>
                <w:sz w:val="22"/>
                <w:szCs w:val="22"/>
              </w:rPr>
              <w:t xml:space="preserve"> в сопоставительную таблицу КВР и КОСГУ на 2021 год.</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В августе с аналогичными нововведениями была опубликована </w:t>
            </w:r>
            <w:hyperlink r:id="rId52" w:history="1">
              <w:r>
                <w:rPr>
                  <w:rStyle w:val="a3"/>
                  <w:color w:val="0000FF"/>
                </w:rPr>
                <w:t>таблица</w:t>
              </w:r>
            </w:hyperlink>
            <w:r>
              <w:rPr>
                <w:rFonts w:ascii="Calibri" w:hAnsi="Calibri" w:cs="Arial"/>
                <w:color w:val="444444"/>
                <w:sz w:val="22"/>
                <w:szCs w:val="22"/>
              </w:rPr>
              <w:t xml:space="preserve"> соответствия разделов (подразделов) и КВР, которая касается региональных бюджетов. </w:t>
            </w:r>
          </w:p>
        </w:tc>
      </w:tr>
      <w:tr w:rsidR="00465699" w:rsidTr="00465699">
        <w:trPr>
          <w:jc w:val="center"/>
        </w:trPr>
        <w:tc>
          <w:tcPr>
            <w:tcW w:w="9000" w:type="dxa"/>
            <w:shd w:val="clear" w:color="auto" w:fill="FFFFFF"/>
            <w:tcMar>
              <w:top w:w="0" w:type="dxa"/>
              <w:left w:w="375" w:type="dxa"/>
              <w:bottom w:w="0" w:type="dxa"/>
              <w:right w:w="375" w:type="dxa"/>
            </w:tcMar>
            <w:vAlign w:val="center"/>
            <w:hideMark/>
          </w:tcPr>
          <w:p w:rsidR="00465699" w:rsidRDefault="00465699">
            <w:pPr>
              <w:jc w:val="center"/>
              <w:rPr>
                <w:rFonts w:eastAsia="Times New Roman"/>
              </w:rPr>
            </w:pPr>
            <w:r>
              <w:rPr>
                <w:rFonts w:eastAsia="Times New Roman"/>
              </w:rPr>
              <w:pict>
                <v:rect id="_x0000_i1030" style="width:467.75pt;height:.75pt" o:hralign="center" o:hrstd="t" o:hr="t" fillcolor="gray" stroked="f"/>
              </w:pict>
            </w:r>
          </w:p>
        </w:tc>
      </w:tr>
      <w:tr w:rsidR="00465699" w:rsidTr="00465699">
        <w:trPr>
          <w:jc w:val="center"/>
        </w:trPr>
        <w:tc>
          <w:tcPr>
            <w:tcW w:w="9000" w:type="dxa"/>
            <w:shd w:val="clear" w:color="auto" w:fill="FFFFFF"/>
            <w:tcMar>
              <w:top w:w="300" w:type="dxa"/>
              <w:left w:w="450" w:type="dxa"/>
              <w:bottom w:w="150" w:type="dxa"/>
              <w:right w:w="450" w:type="dxa"/>
            </w:tcMar>
            <w:vAlign w:val="center"/>
            <w:hideMark/>
          </w:tcPr>
          <w:p w:rsidR="00465699" w:rsidRDefault="00465699">
            <w:pPr>
              <w:rPr>
                <w:rFonts w:eastAsia="Times New Roman"/>
              </w:rPr>
            </w:pPr>
            <w:hyperlink r:id="rId53" w:tgtFrame="_blank" w:history="1">
              <w:r>
                <w:rPr>
                  <w:rStyle w:val="a3"/>
                  <w:rFonts w:eastAsia="Times New Roman"/>
                  <w:b/>
                  <w:bCs/>
                  <w:color w:val="555555"/>
                  <w:sz w:val="27"/>
                  <w:szCs w:val="27"/>
                  <w:u w:val="none"/>
                </w:rPr>
                <w:t xml:space="preserve">Продлены президентские выплаты медицинским и социальным работникам за работу с больными коронавирусом </w:t>
              </w:r>
            </w:hyperlink>
          </w:p>
        </w:tc>
      </w:tr>
      <w:tr w:rsidR="00465699" w:rsidTr="00465699">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65699">
              <w:tc>
                <w:tcPr>
                  <w:tcW w:w="7650" w:type="dxa"/>
                  <w:shd w:val="clear" w:color="auto" w:fill="EEEEEE"/>
                  <w:tcMar>
                    <w:top w:w="225" w:type="dxa"/>
                    <w:left w:w="225" w:type="dxa"/>
                    <w:bottom w:w="225" w:type="dxa"/>
                    <w:right w:w="225" w:type="dxa"/>
                  </w:tcMar>
                  <w:vAlign w:val="center"/>
                  <w:hideMark/>
                </w:tcPr>
                <w:p w:rsidR="00465699" w:rsidRDefault="00465699">
                  <w:pPr>
                    <w:rPr>
                      <w:rFonts w:eastAsia="Times New Roman"/>
                    </w:rPr>
                  </w:pPr>
                  <w:r>
                    <w:rPr>
                      <w:rFonts w:ascii="Arial" w:eastAsia="Times New Roman" w:hAnsi="Arial" w:cs="Arial"/>
                      <w:color w:val="444444"/>
                      <w:sz w:val="21"/>
                      <w:szCs w:val="21"/>
                    </w:rPr>
                    <w:t xml:space="preserve">Возможности: стимулирующие выплаты врачам и работникам социальной сферы за выполнение особо важных работ продлены на сентябрь 2020 года.  </w:t>
                  </w:r>
                </w:p>
              </w:tc>
            </w:tr>
          </w:tbl>
          <w:p w:rsidR="00465699" w:rsidRDefault="00465699">
            <w:pPr>
              <w:rPr>
                <w:rFonts w:eastAsia="Times New Roman"/>
                <w:sz w:val="20"/>
                <w:szCs w:val="20"/>
              </w:rPr>
            </w:pPr>
          </w:p>
        </w:tc>
      </w:tr>
      <w:tr w:rsidR="00465699" w:rsidTr="00465699">
        <w:trPr>
          <w:jc w:val="center"/>
        </w:trPr>
        <w:tc>
          <w:tcPr>
            <w:tcW w:w="9000" w:type="dxa"/>
            <w:shd w:val="clear" w:color="auto" w:fill="FFFFFF"/>
            <w:tcMar>
              <w:top w:w="300" w:type="dxa"/>
              <w:left w:w="450" w:type="dxa"/>
              <w:bottom w:w="300" w:type="dxa"/>
              <w:right w:w="450" w:type="dxa"/>
            </w:tcMar>
            <w:vAlign w:val="center"/>
            <w:hideMark/>
          </w:tcPr>
          <w:p w:rsidR="00465699" w:rsidRDefault="00465699">
            <w:pPr>
              <w:spacing w:line="270" w:lineRule="atLeast"/>
              <w:rPr>
                <w:rFonts w:ascii="Arial" w:eastAsia="Times New Roman" w:hAnsi="Arial" w:cs="Arial"/>
                <w:color w:val="444444"/>
                <w:sz w:val="21"/>
                <w:szCs w:val="21"/>
              </w:rPr>
            </w:pPr>
            <w:r>
              <w:rPr>
                <w:noProof/>
              </w:rPr>
              <w:drawing>
                <wp:anchor distT="0" distB="0" distL="142875" distR="142875" simplePos="0" relativeHeight="251665408" behindDoc="0" locked="0" layoutInCell="1" allowOverlap="0" wp14:anchorId="72637E50" wp14:editId="6DF1B9BF">
                  <wp:simplePos x="0" y="0"/>
                  <wp:positionH relativeFrom="column">
                    <wp:align>left</wp:align>
                  </wp:positionH>
                  <wp:positionV relativeFrom="line">
                    <wp:posOffset>0</wp:posOffset>
                  </wp:positionV>
                  <wp:extent cx="1190625" cy="790575"/>
                  <wp:effectExtent l="0" t="0" r="9525" b="9525"/>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465699" w:rsidRDefault="00465699">
            <w:pPr>
              <w:pStyle w:val="a4"/>
              <w:spacing w:line="270" w:lineRule="atLeast"/>
              <w:rPr>
                <w:rFonts w:ascii="Arial" w:hAnsi="Arial" w:cs="Arial"/>
                <w:color w:val="444444"/>
                <w:sz w:val="21"/>
                <w:szCs w:val="21"/>
              </w:rPr>
            </w:pPr>
            <w:hyperlink r:id="rId55" w:history="1">
              <w:r>
                <w:rPr>
                  <w:rStyle w:val="a3"/>
                  <w:color w:val="0000FF"/>
                </w:rPr>
                <w:t>Постановлением</w:t>
              </w:r>
            </w:hyperlink>
            <w:r>
              <w:rPr>
                <w:rFonts w:ascii="Calibri" w:hAnsi="Calibri" w:cs="Arial"/>
                <w:color w:val="444444"/>
                <w:sz w:val="22"/>
                <w:szCs w:val="22"/>
              </w:rPr>
              <w:t xml:space="preserve"> Правительства от 09.09.2020 № 1381 продлены стимулирующие выплаты медицинским работникам и работникам социальной сферы, оказывающим помощь гражданам с коронавирусом. Речь идет о компенсациях, предусмотренных </w:t>
            </w:r>
            <w:hyperlink r:id="rId56" w:history="1">
              <w:r>
                <w:rPr>
                  <w:rStyle w:val="a3"/>
                  <w:color w:val="0000FF"/>
                </w:rPr>
                <w:t>поручением</w:t>
              </w:r>
            </w:hyperlink>
            <w:r>
              <w:rPr>
                <w:rFonts w:ascii="Calibri" w:hAnsi="Calibri" w:cs="Arial"/>
                <w:color w:val="444444"/>
                <w:sz w:val="22"/>
                <w:szCs w:val="22"/>
              </w:rPr>
              <w:t xml:space="preserve"> Президента и </w:t>
            </w:r>
            <w:hyperlink r:id="rId57" w:history="1">
              <w:r>
                <w:rPr>
                  <w:rStyle w:val="a3"/>
                  <w:color w:val="0000FF"/>
                </w:rPr>
                <w:t>Постановлением</w:t>
              </w:r>
            </w:hyperlink>
            <w:r>
              <w:rPr>
                <w:rFonts w:ascii="Calibri" w:hAnsi="Calibri" w:cs="Arial"/>
                <w:color w:val="444444"/>
                <w:sz w:val="22"/>
                <w:szCs w:val="22"/>
              </w:rPr>
              <w:t xml:space="preserve"> Правительства РФ от12.04.2020 № 484.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Их получат следующие медицинские и иные работники, которые непосредственно участвуют в оказании помощи гражданам с COVID-19:</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врачи стационаров – 80 тыс. руб.;</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средний медперсонал стационаров и врачи скорой помощи – 50 тыс. руб.;</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младший медперсонал стационаров, а также водители, средний и младший медперсонал скорой помощи – 25 тыс. руб.</w:t>
            </w:r>
          </w:p>
        </w:tc>
      </w:tr>
      <w:tr w:rsidR="00465699" w:rsidTr="00465699">
        <w:trPr>
          <w:jc w:val="center"/>
        </w:trPr>
        <w:tc>
          <w:tcPr>
            <w:tcW w:w="9000" w:type="dxa"/>
            <w:shd w:val="clear" w:color="auto" w:fill="FFFFFF"/>
            <w:tcMar>
              <w:top w:w="0" w:type="dxa"/>
              <w:left w:w="375" w:type="dxa"/>
              <w:bottom w:w="0" w:type="dxa"/>
              <w:right w:w="375" w:type="dxa"/>
            </w:tcMar>
            <w:vAlign w:val="center"/>
            <w:hideMark/>
          </w:tcPr>
          <w:p w:rsidR="00465699" w:rsidRDefault="00465699">
            <w:pPr>
              <w:jc w:val="center"/>
              <w:rPr>
                <w:rFonts w:eastAsia="Times New Roman"/>
              </w:rPr>
            </w:pPr>
            <w:r>
              <w:rPr>
                <w:rFonts w:eastAsia="Times New Roman"/>
              </w:rPr>
              <w:pict>
                <v:rect id="_x0000_i1031" style="width:467.75pt;height:.75pt" o:hralign="center" o:hrstd="t" o:hr="t" fillcolor="gray" stroked="f"/>
              </w:pict>
            </w:r>
          </w:p>
        </w:tc>
      </w:tr>
      <w:tr w:rsidR="00465699" w:rsidTr="00465699">
        <w:trPr>
          <w:jc w:val="center"/>
        </w:trPr>
        <w:tc>
          <w:tcPr>
            <w:tcW w:w="9000" w:type="dxa"/>
            <w:shd w:val="clear" w:color="auto" w:fill="FFFFFF"/>
            <w:tcMar>
              <w:top w:w="300" w:type="dxa"/>
              <w:left w:w="450" w:type="dxa"/>
              <w:bottom w:w="150" w:type="dxa"/>
              <w:right w:w="450" w:type="dxa"/>
            </w:tcMar>
            <w:vAlign w:val="center"/>
            <w:hideMark/>
          </w:tcPr>
          <w:p w:rsidR="00465699" w:rsidRDefault="00465699">
            <w:pPr>
              <w:rPr>
                <w:rFonts w:eastAsia="Times New Roman"/>
              </w:rPr>
            </w:pPr>
            <w:hyperlink r:id="rId58" w:tgtFrame="_blank" w:history="1">
              <w:r>
                <w:rPr>
                  <w:rStyle w:val="a3"/>
                  <w:rFonts w:eastAsia="Times New Roman"/>
                  <w:b/>
                  <w:bCs/>
                  <w:color w:val="555555"/>
                  <w:sz w:val="27"/>
                  <w:szCs w:val="27"/>
                  <w:u w:val="none"/>
                </w:rPr>
                <w:t xml:space="preserve">В стандарт «Концептуальные основы бухучета и отчетности» планируют внести коррективы </w:t>
              </w:r>
            </w:hyperlink>
          </w:p>
        </w:tc>
      </w:tr>
      <w:tr w:rsidR="00465699" w:rsidTr="00465699">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65699">
              <w:tc>
                <w:tcPr>
                  <w:tcW w:w="7650" w:type="dxa"/>
                  <w:shd w:val="clear" w:color="auto" w:fill="EEEEEE"/>
                  <w:tcMar>
                    <w:top w:w="225" w:type="dxa"/>
                    <w:left w:w="225" w:type="dxa"/>
                    <w:bottom w:w="225" w:type="dxa"/>
                    <w:right w:w="225" w:type="dxa"/>
                  </w:tcMar>
                  <w:vAlign w:val="center"/>
                  <w:hideMark/>
                </w:tcPr>
                <w:p w:rsidR="00465699" w:rsidRDefault="00465699">
                  <w:pPr>
                    <w:rPr>
                      <w:rFonts w:eastAsia="Times New Roman"/>
                    </w:rPr>
                  </w:pPr>
                  <w:r>
                    <w:rPr>
                      <w:rFonts w:ascii="Arial" w:eastAsia="Times New Roman" w:hAnsi="Arial" w:cs="Arial"/>
                      <w:color w:val="444444"/>
                      <w:sz w:val="21"/>
                      <w:szCs w:val="21"/>
                    </w:rPr>
                    <w:t xml:space="preserve">Возможности: ознакомиться с планируемыми поправками в стандарт, чтобы впоследствии применять их в работе. </w:t>
                  </w:r>
                </w:p>
              </w:tc>
            </w:tr>
          </w:tbl>
          <w:p w:rsidR="00465699" w:rsidRDefault="00465699">
            <w:pPr>
              <w:rPr>
                <w:rFonts w:eastAsia="Times New Roman"/>
                <w:sz w:val="20"/>
                <w:szCs w:val="20"/>
              </w:rPr>
            </w:pPr>
          </w:p>
        </w:tc>
      </w:tr>
      <w:tr w:rsidR="00465699" w:rsidTr="00465699">
        <w:trPr>
          <w:jc w:val="center"/>
        </w:trPr>
        <w:tc>
          <w:tcPr>
            <w:tcW w:w="9000" w:type="dxa"/>
            <w:shd w:val="clear" w:color="auto" w:fill="FFFFFF"/>
            <w:tcMar>
              <w:top w:w="300" w:type="dxa"/>
              <w:left w:w="450" w:type="dxa"/>
              <w:bottom w:w="300" w:type="dxa"/>
              <w:right w:w="450" w:type="dxa"/>
            </w:tcMar>
            <w:vAlign w:val="center"/>
            <w:hideMark/>
          </w:tcPr>
          <w:p w:rsidR="00465699" w:rsidRDefault="00465699">
            <w:pPr>
              <w:spacing w:line="270" w:lineRule="atLeast"/>
              <w:rPr>
                <w:rFonts w:ascii="Arial" w:eastAsia="Times New Roman" w:hAnsi="Arial" w:cs="Arial"/>
                <w:color w:val="444444"/>
                <w:sz w:val="21"/>
                <w:szCs w:val="21"/>
              </w:rPr>
            </w:pPr>
            <w:r>
              <w:rPr>
                <w:noProof/>
              </w:rPr>
              <w:drawing>
                <wp:anchor distT="0" distB="0" distL="142875" distR="142875" simplePos="0" relativeHeight="251666432" behindDoc="0" locked="0" layoutInCell="1" allowOverlap="0" wp14:anchorId="5C8D2524" wp14:editId="2DD6C2BA">
                  <wp:simplePos x="0" y="0"/>
                  <wp:positionH relativeFrom="column">
                    <wp:align>left</wp:align>
                  </wp:positionH>
                  <wp:positionV relativeFrom="line">
                    <wp:posOffset>0</wp:posOffset>
                  </wp:positionV>
                  <wp:extent cx="1190625" cy="800100"/>
                  <wp:effectExtent l="0" t="0" r="9525" b="0"/>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465699" w:rsidRDefault="00465699">
            <w:pPr>
              <w:pStyle w:val="a4"/>
              <w:spacing w:line="270" w:lineRule="atLeast"/>
              <w:rPr>
                <w:rFonts w:ascii="Arial" w:hAnsi="Arial" w:cs="Arial"/>
                <w:color w:val="444444"/>
                <w:sz w:val="21"/>
                <w:szCs w:val="21"/>
              </w:rPr>
            </w:pPr>
            <w:hyperlink r:id="rId60" w:history="1">
              <w:r>
                <w:rPr>
                  <w:rStyle w:val="a3"/>
                  <w:color w:val="0000FF"/>
                </w:rPr>
                <w:t>Приказом</w:t>
              </w:r>
            </w:hyperlink>
            <w:r>
              <w:rPr>
                <w:rFonts w:ascii="Calibri" w:hAnsi="Calibri" w:cs="Arial"/>
                <w:color w:val="444444"/>
                <w:sz w:val="22"/>
                <w:szCs w:val="22"/>
              </w:rPr>
              <w:t xml:space="preserve"> Минфина России от 30.06.2020 № 130н планируется внести изменения в СГС «Концептуальные основы бухгалтерского учета и отчетности».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Положения ФСБУ приведены в соответствие с Бюджетным кодексом РФ, а также общими требованиями к передаче Федеральному казначейству или соответствующему финансовому органу полномочий госорганов, местной администрации (их территориальных органов, подведомственных казенных учреждений) по начислению физлицам выплат по оплате труда и иных выплат, а также связанных с ними обязательных платежей в бюджеты бюджетной системы РФ и их перечислению, а также ведению бюджетного учета представлению бюджетной отчетности.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Кроме того, определен порядок принятия к учету электронных документов и использования простой электронной подписи, квалифицированной электронной подписи.</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Уточнены требования к определению первоначальной стоимости активов и обязательств при необменных операциях.</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В настоящее время данный документ находится на регистрации в Минюсте России. Следует учитывать, что при регистрации текст документа может быть изменен.</w:t>
            </w:r>
          </w:p>
        </w:tc>
      </w:tr>
      <w:tr w:rsidR="00465699" w:rsidTr="00465699">
        <w:trPr>
          <w:jc w:val="center"/>
        </w:trPr>
        <w:tc>
          <w:tcPr>
            <w:tcW w:w="9000" w:type="dxa"/>
            <w:shd w:val="clear" w:color="auto" w:fill="FFFFFF"/>
            <w:tcMar>
              <w:top w:w="0" w:type="dxa"/>
              <w:left w:w="375" w:type="dxa"/>
              <w:bottom w:w="0" w:type="dxa"/>
              <w:right w:w="375" w:type="dxa"/>
            </w:tcMar>
            <w:vAlign w:val="center"/>
            <w:hideMark/>
          </w:tcPr>
          <w:p w:rsidR="00465699" w:rsidRDefault="00465699">
            <w:pPr>
              <w:jc w:val="center"/>
              <w:rPr>
                <w:rFonts w:eastAsia="Times New Roman"/>
              </w:rPr>
            </w:pPr>
            <w:r>
              <w:rPr>
                <w:rFonts w:eastAsia="Times New Roman"/>
              </w:rPr>
              <w:pict>
                <v:rect id="_x0000_i1032" style="width:467.75pt;height:.75pt" o:hralign="center" o:hrstd="t" o:hr="t" fillcolor="gray" stroked="f"/>
              </w:pict>
            </w:r>
          </w:p>
        </w:tc>
      </w:tr>
      <w:tr w:rsidR="00465699" w:rsidTr="00465699">
        <w:trPr>
          <w:jc w:val="center"/>
        </w:trPr>
        <w:tc>
          <w:tcPr>
            <w:tcW w:w="9000" w:type="dxa"/>
            <w:shd w:val="clear" w:color="auto" w:fill="FFFFFF"/>
            <w:tcMar>
              <w:top w:w="300" w:type="dxa"/>
              <w:left w:w="450" w:type="dxa"/>
              <w:bottom w:w="150" w:type="dxa"/>
              <w:right w:w="450" w:type="dxa"/>
            </w:tcMar>
            <w:vAlign w:val="center"/>
            <w:hideMark/>
          </w:tcPr>
          <w:p w:rsidR="00465699" w:rsidRDefault="00465699">
            <w:pPr>
              <w:rPr>
                <w:rFonts w:eastAsia="Times New Roman"/>
              </w:rPr>
            </w:pPr>
            <w:hyperlink r:id="rId61" w:tgtFrame="_blank" w:history="1">
              <w:r>
                <w:rPr>
                  <w:rStyle w:val="a3"/>
                  <w:rFonts w:eastAsia="Times New Roman"/>
                  <w:b/>
                  <w:bCs/>
                  <w:color w:val="555555"/>
                  <w:sz w:val="27"/>
                  <w:szCs w:val="27"/>
                  <w:u w:val="none"/>
                </w:rPr>
                <w:t xml:space="preserve">Выплаты денежного вознаграждения за классное руководство: разъясняет Минпросвещения </w:t>
              </w:r>
            </w:hyperlink>
          </w:p>
        </w:tc>
      </w:tr>
      <w:tr w:rsidR="00465699" w:rsidTr="00465699">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65699">
              <w:tc>
                <w:tcPr>
                  <w:tcW w:w="7650" w:type="dxa"/>
                  <w:shd w:val="clear" w:color="auto" w:fill="EEEEEE"/>
                  <w:tcMar>
                    <w:top w:w="225" w:type="dxa"/>
                    <w:left w:w="225" w:type="dxa"/>
                    <w:bottom w:w="225" w:type="dxa"/>
                    <w:right w:w="225" w:type="dxa"/>
                  </w:tcMar>
                  <w:vAlign w:val="center"/>
                  <w:hideMark/>
                </w:tcPr>
                <w:p w:rsidR="00465699" w:rsidRDefault="00465699">
                  <w:pPr>
                    <w:rPr>
                      <w:rFonts w:eastAsia="Times New Roman"/>
                    </w:rPr>
                  </w:pPr>
                  <w:r>
                    <w:rPr>
                      <w:rFonts w:ascii="Arial" w:eastAsia="Times New Roman" w:hAnsi="Arial" w:cs="Arial"/>
                      <w:color w:val="444444"/>
                      <w:sz w:val="21"/>
                      <w:szCs w:val="21"/>
                    </w:rPr>
                    <w:t xml:space="preserve">Возможности: ознакомиться с дополнительными разъяснениями Минпросвещения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w:t>
                  </w:r>
                </w:p>
              </w:tc>
            </w:tr>
          </w:tbl>
          <w:p w:rsidR="00465699" w:rsidRDefault="00465699">
            <w:pPr>
              <w:rPr>
                <w:rFonts w:eastAsia="Times New Roman"/>
                <w:sz w:val="20"/>
                <w:szCs w:val="20"/>
              </w:rPr>
            </w:pPr>
          </w:p>
        </w:tc>
      </w:tr>
      <w:tr w:rsidR="00465699" w:rsidTr="00465699">
        <w:trPr>
          <w:jc w:val="center"/>
        </w:trPr>
        <w:tc>
          <w:tcPr>
            <w:tcW w:w="9000" w:type="dxa"/>
            <w:shd w:val="clear" w:color="auto" w:fill="FFFFFF"/>
            <w:tcMar>
              <w:top w:w="300" w:type="dxa"/>
              <w:left w:w="450" w:type="dxa"/>
              <w:bottom w:w="300" w:type="dxa"/>
              <w:right w:w="450" w:type="dxa"/>
            </w:tcMar>
            <w:vAlign w:val="center"/>
            <w:hideMark/>
          </w:tcPr>
          <w:p w:rsidR="00465699" w:rsidRDefault="00465699">
            <w:pPr>
              <w:spacing w:line="270" w:lineRule="atLeast"/>
              <w:rPr>
                <w:rFonts w:ascii="Arial" w:eastAsia="Times New Roman" w:hAnsi="Arial" w:cs="Arial"/>
                <w:color w:val="444444"/>
                <w:sz w:val="21"/>
                <w:szCs w:val="21"/>
              </w:rPr>
            </w:pPr>
            <w:r>
              <w:rPr>
                <w:noProof/>
              </w:rPr>
              <w:drawing>
                <wp:anchor distT="0" distB="0" distL="142875" distR="142875" simplePos="0" relativeHeight="251667456" behindDoc="0" locked="0" layoutInCell="1" allowOverlap="0" wp14:anchorId="3A74395F" wp14:editId="17C9D565">
                  <wp:simplePos x="0" y="0"/>
                  <wp:positionH relativeFrom="column">
                    <wp:align>left</wp:align>
                  </wp:positionH>
                  <wp:positionV relativeFrom="line">
                    <wp:posOffset>0</wp:posOffset>
                  </wp:positionV>
                  <wp:extent cx="1190625" cy="895350"/>
                  <wp:effectExtent l="0" t="0" r="9525" b="0"/>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Минпросвещения России </w:t>
            </w:r>
            <w:hyperlink r:id="rId63" w:history="1">
              <w:r>
                <w:rPr>
                  <w:rStyle w:val="a3"/>
                  <w:color w:val="0000FF"/>
                </w:rPr>
                <w:t>Письмом</w:t>
              </w:r>
            </w:hyperlink>
            <w:r>
              <w:rPr>
                <w:rFonts w:ascii="Calibri" w:hAnsi="Calibri" w:cs="Arial"/>
                <w:color w:val="444444"/>
                <w:sz w:val="22"/>
                <w:szCs w:val="22"/>
              </w:rPr>
              <w:t xml:space="preserve"> от 07.09.2020 № ВБ-1700/08 направило разъяснения о выплатах денежного вознаграждения за классное руководство. Разъяснения разработаны в дополнение к направленным ранее разъяснениям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направленным руководителям органов исполнительной власти субъектов Российской Федерации, осуществляющих государственное управление в сфере образования, </w:t>
            </w:r>
            <w:hyperlink r:id="rId64" w:history="1">
              <w:r>
                <w:rPr>
                  <w:rStyle w:val="a3"/>
                  <w:color w:val="0000FF"/>
                </w:rPr>
                <w:t>Письмом</w:t>
              </w:r>
            </w:hyperlink>
            <w:r>
              <w:rPr>
                <w:rFonts w:ascii="Calibri" w:hAnsi="Calibri" w:cs="Arial"/>
                <w:color w:val="444444"/>
                <w:sz w:val="22"/>
                <w:szCs w:val="22"/>
              </w:rPr>
              <w:t xml:space="preserve"> от 28.05.2020 № ВБ-1159/08.</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Ежемесячное денежное вознаграждение за классное руководство в размере 5 000 </w:t>
            </w:r>
            <w:r>
              <w:rPr>
                <w:rFonts w:ascii="Calibri" w:hAnsi="Calibri" w:cs="Arial"/>
                <w:color w:val="444444"/>
                <w:sz w:val="22"/>
                <w:szCs w:val="22"/>
              </w:rPr>
              <w:lastRenderedPageBreak/>
              <w:t>рублей выплачивается педагогическим работникам за каждый класс (класс-комплект) независимо от количества обучающихся в классе (классе-комплекте).</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Класс-комплект может формироваться из обучающихся I-IV классов в порядке, предусмотренном </w:t>
            </w:r>
            <w:hyperlink r:id="rId65" w:history="1">
              <w:r>
                <w:rPr>
                  <w:rStyle w:val="a3"/>
                  <w:color w:val="0000FF"/>
                </w:rPr>
                <w:t>пунктом 10.15</w:t>
              </w:r>
            </w:hyperlink>
            <w:r>
              <w:rPr>
                <w:rFonts w:ascii="Calibri" w:hAnsi="Calibri" w:cs="Arial"/>
                <w:color w:val="444444"/>
                <w:sz w:val="22"/>
                <w:szCs w:val="22"/>
              </w:rPr>
              <w:t xml:space="preserve"> СанПиН 2.4.2.2821-10, с учетом приведенных рекомендаций.</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При введении выплаты денежного вознаграждения из федерального бюджета не допускается ухудшение ранее установленных условий оплаты труда, снижение размеров индексации заработной платы, отмена либо уменьшение размеров надбавок, коэффициентов, стимулирующих выплат, установленных педагогическим работникам из региональных (муниципальных) бюджетов.</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Также, в частности, отмечено, что денежное вознаграждение включается в средний заработок, исходя из которого исчисляются пособия по временной нетрудоспособности.</w:t>
            </w:r>
          </w:p>
        </w:tc>
      </w:tr>
      <w:tr w:rsidR="00465699" w:rsidTr="00465699">
        <w:trPr>
          <w:jc w:val="center"/>
        </w:trPr>
        <w:tc>
          <w:tcPr>
            <w:tcW w:w="9000" w:type="dxa"/>
            <w:shd w:val="clear" w:color="auto" w:fill="FFFFFF"/>
            <w:tcMar>
              <w:top w:w="0" w:type="dxa"/>
              <w:left w:w="375" w:type="dxa"/>
              <w:bottom w:w="0" w:type="dxa"/>
              <w:right w:w="375" w:type="dxa"/>
            </w:tcMar>
            <w:vAlign w:val="center"/>
            <w:hideMark/>
          </w:tcPr>
          <w:p w:rsidR="00465699" w:rsidRDefault="00465699">
            <w:pPr>
              <w:jc w:val="center"/>
              <w:rPr>
                <w:rFonts w:eastAsia="Times New Roman"/>
              </w:rPr>
            </w:pPr>
            <w:r>
              <w:rPr>
                <w:rFonts w:eastAsia="Times New Roman"/>
              </w:rPr>
              <w:lastRenderedPageBreak/>
              <w:pict>
                <v:rect id="_x0000_i1033" style="width:467.75pt;height:.75pt" o:hralign="center" o:hrstd="t" o:hr="t" fillcolor="gray" stroked="f"/>
              </w:pict>
            </w:r>
          </w:p>
        </w:tc>
      </w:tr>
      <w:tr w:rsidR="00465699" w:rsidTr="00465699">
        <w:trPr>
          <w:jc w:val="center"/>
        </w:trPr>
        <w:tc>
          <w:tcPr>
            <w:tcW w:w="9000" w:type="dxa"/>
            <w:shd w:val="clear" w:color="auto" w:fill="D0D1D3"/>
            <w:tcMar>
              <w:top w:w="300" w:type="dxa"/>
              <w:left w:w="300" w:type="dxa"/>
              <w:bottom w:w="300" w:type="dxa"/>
              <w:right w:w="300" w:type="dxa"/>
            </w:tcMar>
            <w:vAlign w:val="center"/>
            <w:hideMark/>
          </w:tcPr>
          <w:p w:rsidR="00465699" w:rsidRDefault="00465699">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465699" w:rsidTr="00465699">
        <w:trPr>
          <w:jc w:val="center"/>
        </w:trPr>
        <w:tc>
          <w:tcPr>
            <w:tcW w:w="9000" w:type="dxa"/>
            <w:shd w:val="clear" w:color="auto" w:fill="FFFFFF"/>
            <w:tcMar>
              <w:top w:w="300" w:type="dxa"/>
              <w:left w:w="450" w:type="dxa"/>
              <w:bottom w:w="150" w:type="dxa"/>
              <w:right w:w="450" w:type="dxa"/>
            </w:tcMar>
            <w:vAlign w:val="center"/>
            <w:hideMark/>
          </w:tcPr>
          <w:p w:rsidR="00465699" w:rsidRDefault="00465699">
            <w:pPr>
              <w:rPr>
                <w:rFonts w:eastAsia="Times New Roman"/>
              </w:rPr>
            </w:pPr>
            <w:hyperlink r:id="rId66" w:tgtFrame="_blank" w:history="1">
              <w:r>
                <w:rPr>
                  <w:rStyle w:val="a3"/>
                  <w:rFonts w:eastAsia="Times New Roman"/>
                  <w:b/>
                  <w:bCs/>
                  <w:color w:val="555555"/>
                  <w:sz w:val="27"/>
                  <w:szCs w:val="27"/>
                  <w:u w:val="none"/>
                </w:rPr>
                <w:t xml:space="preserve">По какому КОСГУ КВР учитывать возмещение первичного медицинского осмотра сотруднику? </w:t>
              </w:r>
            </w:hyperlink>
          </w:p>
        </w:tc>
      </w:tr>
      <w:tr w:rsidR="00465699" w:rsidTr="00465699">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65699">
              <w:tc>
                <w:tcPr>
                  <w:tcW w:w="7650" w:type="dxa"/>
                  <w:shd w:val="clear" w:color="auto" w:fill="EEEEEE"/>
                  <w:tcMar>
                    <w:top w:w="225" w:type="dxa"/>
                    <w:left w:w="225" w:type="dxa"/>
                    <w:bottom w:w="225" w:type="dxa"/>
                    <w:right w:w="225" w:type="dxa"/>
                  </w:tcMar>
                  <w:vAlign w:val="center"/>
                  <w:hideMark/>
                </w:tcPr>
                <w:p w:rsidR="00465699" w:rsidRDefault="00465699">
                  <w:pPr>
                    <w:rPr>
                      <w:rFonts w:eastAsia="Times New Roman"/>
                    </w:rPr>
                  </w:pPr>
                  <w:r>
                    <w:rPr>
                      <w:rFonts w:ascii="Arial" w:eastAsia="Times New Roman" w:hAnsi="Arial" w:cs="Arial"/>
                      <w:color w:val="444444"/>
                      <w:sz w:val="21"/>
                      <w:szCs w:val="21"/>
                    </w:rPr>
                    <w:t xml:space="preserve">Риски: выплаты работникам денежной компенсации за медицинские услуги отражаются по КВР 112, расходы на медицинские услуги по медосмотру, выплачиваемые в виде компенсации, относятся к подстатье 226 «Прочие работы, услуги» КОСГУ. </w:t>
                  </w:r>
                </w:p>
              </w:tc>
            </w:tr>
          </w:tbl>
          <w:p w:rsidR="00465699" w:rsidRDefault="00465699">
            <w:pPr>
              <w:rPr>
                <w:rFonts w:eastAsia="Times New Roman"/>
                <w:sz w:val="20"/>
                <w:szCs w:val="20"/>
              </w:rPr>
            </w:pPr>
          </w:p>
        </w:tc>
      </w:tr>
      <w:tr w:rsidR="00465699" w:rsidTr="00465699">
        <w:trPr>
          <w:jc w:val="center"/>
        </w:trPr>
        <w:tc>
          <w:tcPr>
            <w:tcW w:w="9000" w:type="dxa"/>
            <w:shd w:val="clear" w:color="auto" w:fill="FFFFFF"/>
            <w:tcMar>
              <w:top w:w="300" w:type="dxa"/>
              <w:left w:w="450" w:type="dxa"/>
              <w:bottom w:w="300" w:type="dxa"/>
              <w:right w:w="450" w:type="dxa"/>
            </w:tcMar>
            <w:vAlign w:val="center"/>
            <w:hideMark/>
          </w:tcPr>
          <w:p w:rsidR="00465699" w:rsidRDefault="00465699">
            <w:pPr>
              <w:spacing w:line="270" w:lineRule="atLeast"/>
              <w:rPr>
                <w:rFonts w:ascii="Arial" w:eastAsia="Times New Roman" w:hAnsi="Arial" w:cs="Arial"/>
                <w:color w:val="444444"/>
                <w:sz w:val="21"/>
                <w:szCs w:val="21"/>
              </w:rPr>
            </w:pPr>
            <w:r>
              <w:rPr>
                <w:noProof/>
              </w:rPr>
              <w:drawing>
                <wp:anchor distT="0" distB="0" distL="142875" distR="142875" simplePos="0" relativeHeight="251668480" behindDoc="0" locked="0" layoutInCell="1" allowOverlap="0" wp14:anchorId="0267CA8D" wp14:editId="62D226A9">
                  <wp:simplePos x="0" y="0"/>
                  <wp:positionH relativeFrom="column">
                    <wp:align>left</wp:align>
                  </wp:positionH>
                  <wp:positionV relativeFrom="line">
                    <wp:posOffset>0</wp:posOffset>
                  </wp:positionV>
                  <wp:extent cx="1190625" cy="800100"/>
                  <wp:effectExtent l="0" t="0" r="9525" b="0"/>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Эксперт в </w:t>
            </w:r>
            <w:hyperlink r:id="rId68" w:history="1">
              <w:r>
                <w:rPr>
                  <w:rStyle w:val="a3"/>
                  <w:color w:val="0000FF"/>
                </w:rPr>
                <w:t>статье</w:t>
              </w:r>
            </w:hyperlink>
            <w:r>
              <w:rPr>
                <w:rFonts w:ascii="Calibri" w:hAnsi="Calibri" w:cs="Arial"/>
                <w:color w:val="444444"/>
                <w:sz w:val="22"/>
                <w:szCs w:val="22"/>
              </w:rPr>
              <w:t xml:space="preserve"> «Медосмотры работников образования в 2020 году» СПС КонсультантПлюс разъясняет следующее.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Компенсация (возмещение) расходов будущему работнику за медосмотр при приеме на работу относятся на КВР 112 КОСГУ 226.Такой порядок действует с 2019 года при возмещении персоналу расходов на прохождение медицинского осмотра вместо КОСГУ </w:t>
            </w:r>
            <w:hyperlink r:id="rId69" w:history="1">
              <w:r>
                <w:rPr>
                  <w:rStyle w:val="a3"/>
                  <w:color w:val="0000FF"/>
                </w:rPr>
                <w:t>212</w:t>
              </w:r>
            </w:hyperlink>
            <w:r>
              <w:rPr>
                <w:rFonts w:ascii="Calibri" w:hAnsi="Calibri" w:cs="Arial"/>
                <w:color w:val="444444"/>
                <w:sz w:val="22"/>
                <w:szCs w:val="22"/>
              </w:rPr>
              <w:t xml:space="preserve">. Это предусмотрено </w:t>
            </w:r>
            <w:hyperlink r:id="rId70" w:history="1">
              <w:r>
                <w:rPr>
                  <w:rStyle w:val="a3"/>
                  <w:color w:val="0000FF"/>
                </w:rPr>
                <w:t>Письмом</w:t>
              </w:r>
            </w:hyperlink>
            <w:r>
              <w:rPr>
                <w:rFonts w:ascii="Calibri" w:hAnsi="Calibri" w:cs="Arial"/>
                <w:color w:val="444444"/>
                <w:sz w:val="22"/>
                <w:szCs w:val="22"/>
              </w:rPr>
              <w:t xml:space="preserve"> Минфина России от 27.02.2019 № 02-05-10/12772.</w:t>
            </w:r>
          </w:p>
          <w:p w:rsidR="00465699" w:rsidRDefault="00465699">
            <w:pPr>
              <w:pStyle w:val="a4"/>
              <w:spacing w:line="270" w:lineRule="atLeast"/>
              <w:rPr>
                <w:rFonts w:ascii="Arial" w:hAnsi="Arial" w:cs="Arial"/>
                <w:color w:val="444444"/>
                <w:sz w:val="21"/>
                <w:szCs w:val="21"/>
              </w:rPr>
            </w:pPr>
            <w:r>
              <w:rPr>
                <w:rFonts w:ascii="Arial" w:hAnsi="Arial" w:cs="Arial"/>
                <w:color w:val="444444"/>
                <w:sz w:val="21"/>
                <w:szCs w:val="21"/>
              </w:rPr>
              <w:t> </w:t>
            </w:r>
          </w:p>
          <w:p w:rsidR="00465699" w:rsidRDefault="00465699">
            <w:pPr>
              <w:pStyle w:val="a4"/>
              <w:spacing w:line="270" w:lineRule="atLeast"/>
              <w:rPr>
                <w:rFonts w:ascii="Arial" w:hAnsi="Arial" w:cs="Arial"/>
                <w:color w:val="444444"/>
                <w:sz w:val="21"/>
                <w:szCs w:val="21"/>
              </w:rPr>
            </w:pPr>
            <w:r>
              <w:rPr>
                <w:rFonts w:ascii="Calibri" w:hAnsi="Calibri" w:cs="Arial"/>
                <w:b/>
                <w:bCs/>
                <w:color w:val="444444"/>
                <w:sz w:val="22"/>
                <w:szCs w:val="22"/>
              </w:rPr>
              <w:t>Порядок налогообложения компенсации (возмещения) затрат будущему работнику на медосмотр при приеме на работу</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Если работник при приеме на работу сам оплатил медицинский осмотр, суммы возмещения ему этих расходов не облагаются НДФЛ (</w:t>
            </w:r>
            <w:hyperlink r:id="rId71" w:history="1">
              <w:r>
                <w:rPr>
                  <w:rStyle w:val="a3"/>
                  <w:color w:val="0000FF"/>
                </w:rPr>
                <w:t>Письмо</w:t>
              </w:r>
            </w:hyperlink>
            <w:r>
              <w:rPr>
                <w:rFonts w:ascii="Calibri" w:hAnsi="Calibri" w:cs="Arial"/>
                <w:color w:val="444444"/>
                <w:sz w:val="22"/>
                <w:szCs w:val="22"/>
              </w:rPr>
              <w:t xml:space="preserve"> Минфина России от 24.01.2019 № 03-15-06/3786).</w:t>
            </w:r>
          </w:p>
          <w:p w:rsidR="00465699" w:rsidRDefault="00465699">
            <w:pPr>
              <w:pStyle w:val="a4"/>
              <w:spacing w:line="270" w:lineRule="atLeast"/>
              <w:rPr>
                <w:rFonts w:ascii="Arial" w:hAnsi="Arial" w:cs="Arial"/>
                <w:color w:val="444444"/>
                <w:sz w:val="21"/>
                <w:szCs w:val="21"/>
              </w:rPr>
            </w:pPr>
            <w:r>
              <w:rPr>
                <w:rFonts w:ascii="Arial" w:hAnsi="Arial" w:cs="Arial"/>
                <w:color w:val="444444"/>
                <w:sz w:val="21"/>
                <w:szCs w:val="21"/>
              </w:rPr>
              <w:t> </w:t>
            </w:r>
          </w:p>
          <w:p w:rsidR="00465699" w:rsidRDefault="00465699">
            <w:pPr>
              <w:pStyle w:val="a4"/>
              <w:spacing w:line="270" w:lineRule="atLeast"/>
              <w:rPr>
                <w:rFonts w:ascii="Arial" w:hAnsi="Arial" w:cs="Arial"/>
                <w:color w:val="444444"/>
                <w:sz w:val="21"/>
                <w:szCs w:val="21"/>
              </w:rPr>
            </w:pPr>
            <w:r>
              <w:rPr>
                <w:rFonts w:ascii="Calibri" w:hAnsi="Calibri" w:cs="Arial"/>
                <w:b/>
                <w:bCs/>
                <w:color w:val="444444"/>
                <w:sz w:val="22"/>
                <w:szCs w:val="22"/>
              </w:rPr>
              <w:t xml:space="preserve">Страховые взносы на компенсацию расходов на медосмотр </w:t>
            </w:r>
          </w:p>
          <w:p w:rsidR="00465699" w:rsidRDefault="00465699">
            <w:pPr>
              <w:pStyle w:val="a4"/>
              <w:spacing w:line="270" w:lineRule="atLeast"/>
              <w:rPr>
                <w:rFonts w:ascii="Arial" w:hAnsi="Arial" w:cs="Arial"/>
                <w:color w:val="444444"/>
                <w:sz w:val="21"/>
                <w:szCs w:val="21"/>
              </w:rPr>
            </w:pPr>
            <w:r>
              <w:rPr>
                <w:rFonts w:ascii="Calibri" w:hAnsi="Calibri" w:cs="Arial"/>
                <w:color w:val="444444"/>
                <w:sz w:val="22"/>
                <w:szCs w:val="22"/>
              </w:rPr>
              <w:t xml:space="preserve">Суммы расходов на оплату медосмотров, возмещаемые учреждением работникам, не являются компенсационными выплатами, предусмотренными Трудовым </w:t>
            </w:r>
            <w:hyperlink r:id="rId72" w:history="1">
              <w:r>
                <w:rPr>
                  <w:rStyle w:val="a3"/>
                  <w:color w:val="0000FF"/>
                </w:rPr>
                <w:t>кодексом</w:t>
              </w:r>
            </w:hyperlink>
            <w:r>
              <w:rPr>
                <w:rFonts w:ascii="Calibri" w:hAnsi="Calibri" w:cs="Arial"/>
                <w:color w:val="444444"/>
                <w:sz w:val="22"/>
                <w:szCs w:val="22"/>
              </w:rPr>
              <w:t xml:space="preserve"> РФ. В связи с этим они облагаются страховыми взносами и взносами на травматизм (Письмо ФНС России от 27.01.2020 </w:t>
            </w:r>
            <w:hyperlink r:id="rId73" w:history="1">
              <w:r>
                <w:rPr>
                  <w:rStyle w:val="a3"/>
                  <w:color w:val="0000FF"/>
                </w:rPr>
                <w:t>№ БС-4-11/1082@</w:t>
              </w:r>
            </w:hyperlink>
            <w:r>
              <w:rPr>
                <w:rFonts w:ascii="Calibri" w:hAnsi="Calibri" w:cs="Arial"/>
                <w:color w:val="444444"/>
                <w:sz w:val="22"/>
                <w:szCs w:val="22"/>
              </w:rPr>
              <w:t xml:space="preserve">). Медосмотры работников относятся к прямым затратам учреждения согласно учетной политике. Документом основанием выплат компенсации является договор, акт оказанных услуг и чек об оплате. </w:t>
            </w:r>
          </w:p>
        </w:tc>
      </w:tr>
      <w:tr w:rsidR="00465699" w:rsidTr="00465699">
        <w:trPr>
          <w:jc w:val="center"/>
        </w:trPr>
        <w:tc>
          <w:tcPr>
            <w:tcW w:w="9000" w:type="dxa"/>
            <w:shd w:val="clear" w:color="auto" w:fill="FFFFFF"/>
            <w:tcMar>
              <w:top w:w="0" w:type="dxa"/>
              <w:left w:w="375" w:type="dxa"/>
              <w:bottom w:w="0" w:type="dxa"/>
              <w:right w:w="375" w:type="dxa"/>
            </w:tcMar>
            <w:vAlign w:val="center"/>
            <w:hideMark/>
          </w:tcPr>
          <w:p w:rsidR="00465699" w:rsidRDefault="00465699">
            <w:pPr>
              <w:jc w:val="center"/>
              <w:rPr>
                <w:rFonts w:eastAsia="Times New Roman"/>
              </w:rPr>
            </w:pPr>
            <w:r>
              <w:rPr>
                <w:rFonts w:eastAsia="Times New Roman"/>
              </w:rPr>
              <w:pict>
                <v:rect id="_x0000_i1034" style="width:467.75pt;height:.75pt" o:hralign="center" o:hrstd="t" o:hr="t" fillcolor="gray" stroked="f"/>
              </w:pict>
            </w:r>
          </w:p>
        </w:tc>
      </w:tr>
    </w:tbl>
    <w:p w:rsidR="00C63111" w:rsidRDefault="00C63111"/>
    <w:sectPr w:rsidR="00C63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99"/>
    <w:rsid w:val="00465699"/>
    <w:rsid w:val="00C6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9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5699"/>
    <w:rPr>
      <w:rFonts w:ascii="Arial" w:hAnsi="Arial" w:cs="Arial" w:hint="default"/>
      <w:color w:val="00707B"/>
      <w:sz w:val="21"/>
      <w:szCs w:val="21"/>
      <w:u w:val="single"/>
    </w:rPr>
  </w:style>
  <w:style w:type="paragraph" w:styleId="a4">
    <w:name w:val="Normal (Web)"/>
    <w:basedOn w:val="a"/>
    <w:uiPriority w:val="99"/>
    <w:unhideWhenUsed/>
    <w:rsid w:val="00465699"/>
  </w:style>
  <w:style w:type="character" w:customStyle="1" w:styleId="title-main">
    <w:name w:val="title-main"/>
    <w:basedOn w:val="a0"/>
    <w:rsid w:val="00465699"/>
  </w:style>
  <w:style w:type="paragraph" w:styleId="a5">
    <w:name w:val="Balloon Text"/>
    <w:basedOn w:val="a"/>
    <w:link w:val="a6"/>
    <w:uiPriority w:val="99"/>
    <w:semiHidden/>
    <w:unhideWhenUsed/>
    <w:rsid w:val="00465699"/>
    <w:rPr>
      <w:rFonts w:ascii="Tahoma" w:hAnsi="Tahoma" w:cs="Tahoma"/>
      <w:sz w:val="16"/>
      <w:szCs w:val="16"/>
    </w:rPr>
  </w:style>
  <w:style w:type="character" w:customStyle="1" w:styleId="a6">
    <w:name w:val="Текст выноски Знак"/>
    <w:basedOn w:val="a0"/>
    <w:link w:val="a5"/>
    <w:uiPriority w:val="99"/>
    <w:semiHidden/>
    <w:rsid w:val="0046569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9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5699"/>
    <w:rPr>
      <w:rFonts w:ascii="Arial" w:hAnsi="Arial" w:cs="Arial" w:hint="default"/>
      <w:color w:val="00707B"/>
      <w:sz w:val="21"/>
      <w:szCs w:val="21"/>
      <w:u w:val="single"/>
    </w:rPr>
  </w:style>
  <w:style w:type="paragraph" w:styleId="a4">
    <w:name w:val="Normal (Web)"/>
    <w:basedOn w:val="a"/>
    <w:uiPriority w:val="99"/>
    <w:unhideWhenUsed/>
    <w:rsid w:val="00465699"/>
  </w:style>
  <w:style w:type="character" w:customStyle="1" w:styleId="title-main">
    <w:name w:val="title-main"/>
    <w:basedOn w:val="a0"/>
    <w:rsid w:val="00465699"/>
  </w:style>
  <w:style w:type="paragraph" w:styleId="a5">
    <w:name w:val="Balloon Text"/>
    <w:basedOn w:val="a"/>
    <w:link w:val="a6"/>
    <w:uiPriority w:val="99"/>
    <w:semiHidden/>
    <w:unhideWhenUsed/>
    <w:rsid w:val="00465699"/>
    <w:rPr>
      <w:rFonts w:ascii="Tahoma" w:hAnsi="Tahoma" w:cs="Tahoma"/>
      <w:sz w:val="16"/>
      <w:szCs w:val="16"/>
    </w:rPr>
  </w:style>
  <w:style w:type="character" w:customStyle="1" w:styleId="a6">
    <w:name w:val="Текст выноски Знак"/>
    <w:basedOn w:val="a0"/>
    <w:link w:val="a5"/>
    <w:uiPriority w:val="99"/>
    <w:semiHidden/>
    <w:rsid w:val="0046569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main?base=LAW;n=362054;dst=100046" TargetMode="External"/><Relationship Id="rId18" Type="http://schemas.openxmlformats.org/officeDocument/2006/relationships/hyperlink" Target="consultantplus://offline/ref=main?base=LAW;n=362054;dst=100027" TargetMode="External"/><Relationship Id="rId26" Type="http://schemas.openxmlformats.org/officeDocument/2006/relationships/hyperlink" Target="consultantplus://offline/ref=E2A1C77EA99C72B8A409886D80F51F18757D4D5BC99532222409FA7CDCBE4E7076520636A6920D5887CF529499DF7DA2D3229D98D3CDDB02B1CDBB12BDw5S" TargetMode="External"/><Relationship Id="rId39" Type="http://schemas.openxmlformats.org/officeDocument/2006/relationships/hyperlink" Target="consultantplus://offline/ref=93BDB4BAD2B8FBEF65A60937943A6B4C3A1D03F7D558D7793B9FDBB7A1063FA878666E2BCA7274DD04621EBAE1845BDBCC4CAFC58D0DA38Bb6I9L" TargetMode="External"/><Relationship Id="rId21" Type="http://schemas.openxmlformats.org/officeDocument/2006/relationships/image" Target="media/image3.jpeg"/><Relationship Id="rId34" Type="http://schemas.openxmlformats.org/officeDocument/2006/relationships/hyperlink" Target="consultantplus://offline/ref=4D5C24257578C11F654976412AF5D812A1B5CDA44C62C3FBD927115E77AE87DBD59647E92E4C4973FECFFDE262B69E3B614BC02E3BD4E20BVEbAU" TargetMode="External"/><Relationship Id="rId42" Type="http://schemas.openxmlformats.org/officeDocument/2006/relationships/hyperlink" Target="consultantplus://offline/ref=main?base=LAW;n=361745;dst=100015" TargetMode="External"/><Relationship Id="rId47" Type="http://schemas.openxmlformats.org/officeDocument/2006/relationships/hyperlink" Target="http://work.elcode.ru/subscribe/link/?hash=861958b0dca34d7d782992099e307223&amp;id_send=15490&amp;id_email=7526518&amp;url=https%3A%2F%2Flogin.consultant.ru%2Flink%2F%3Freq%3Ddoc%26base%3DLAW%26n%3D357520%26dst%3D100003&amp;uid_news=786163" TargetMode="External"/><Relationship Id="rId50" Type="http://schemas.openxmlformats.org/officeDocument/2006/relationships/hyperlink" Target="consultantplus://offline/ref=AAE76EEE981855280E2CE9CB6A1EE5144FA0A46736F39C2B6032393F3601D4A3757D05F2C1BDC9603EA4167BE08310CBC026EC278B5AAF1DM8f5U" TargetMode="External"/><Relationship Id="rId55" Type="http://schemas.openxmlformats.org/officeDocument/2006/relationships/hyperlink" Target="http://work.elcode.ru/subscribe/link/?hash=861958b0dca34d7d782992099e307223&amp;id_send=15490&amp;id_email=7526518&amp;url=https%3A%2F%2Fstorage.consultant.ru%2Fondb%2Fattachments%2F202009%2F14%2FAeogVU7TwRupI7iGAlLCy5x4TIisA1o2_eWl.pdf&amp;uid_news=786155" TargetMode="External"/><Relationship Id="rId63" Type="http://schemas.openxmlformats.org/officeDocument/2006/relationships/hyperlink" Target="consultantplus://offline/ref=840EBEF10A2990D726739D5B811F9F7D1A3DEFB456182ECDB3AFEC25BF8F16582E76E43B94032CF9E65510737B11528CBCF212CDC2F50B03VEnCT" TargetMode="External"/><Relationship Id="rId68" Type="http://schemas.openxmlformats.org/officeDocument/2006/relationships/hyperlink" Target="http://work.elcode.ru/subscribe/link/?hash=861958b0dca34d7d782992099e307223&amp;id_send=15490&amp;id_email=7526518&amp;url=https%3A%2F%2Flogin.consultant.ru%2Flink%2F%3Freq%3Ddoc%26amp%3Bbase%3DPKBO%26amp%3Bn%3D43309%26amp%3Bdst%3D100002&amp;uid_news=786101" TargetMode="External"/><Relationship Id="rId7" Type="http://schemas.openxmlformats.org/officeDocument/2006/relationships/hyperlink" Target="http://work.elcode.ru/subscribe/link/?hash=861958b0dca34d7d782992099e307223&amp;id_send=15490&amp;id_email=7526518&amp;url=https%3A%2F%2Flogin.consultant.ru%2Flink%2F%3Freq%3Ddoc%26base%3DLAW%26n%3D362054%26dst%3D100002&amp;uid_news=786274" TargetMode="External"/><Relationship Id="rId71" Type="http://schemas.openxmlformats.org/officeDocument/2006/relationships/hyperlink" Target="consultantplus://offline/ref=8C9E171FE2AE290CDDF62AF1BBA621D0A648D6814F7CB64D6654378B5004A88892EF98A0AA9DAA5BADB22601AD4CA32BCAB1EA58302CDBCC5E85z0l6V" TargetMode="External"/><Relationship Id="rId2" Type="http://schemas.microsoft.com/office/2007/relationships/stylesWithEffects" Target="stylesWithEffects.xml"/><Relationship Id="rId16" Type="http://schemas.openxmlformats.org/officeDocument/2006/relationships/hyperlink" Target="consultantplus://offline/ref=main?base=LAW;n=362054;dst=100069" TargetMode="External"/><Relationship Id="rId29" Type="http://schemas.openxmlformats.org/officeDocument/2006/relationships/hyperlink" Target="http://work.elcode.ru/subscribe/link/?hash=861958b0dca34d7d782992099e307223&amp;id_send=15490&amp;id_email=7526518&amp;url=https%3A%2F%2Flogin.consultant.ru%2Flink%2F%3Freq%3Ddoc%26amp%3Bbase%3DLAW%26amp%3Bn%3D361421%26amp%3Bdst%3D1000000003&amp;uid_news=786226" TargetMode="External"/><Relationship Id="rId11" Type="http://schemas.openxmlformats.org/officeDocument/2006/relationships/hyperlink" Target="consultantplus://offline/ref=main?base=LAW;n=362054;dst=100073" TargetMode="External"/><Relationship Id="rId24" Type="http://schemas.openxmlformats.org/officeDocument/2006/relationships/hyperlink" Target="consultantplus://offline/ref=B6E70EA3F36C67150CCA49145380DD5DA224A2E2BED681D1006EF4A23D7A1125237D1E88A1D79970676168154AE09276E585D1EFE5BF8AFEn1Z8U" TargetMode="External"/><Relationship Id="rId32" Type="http://schemas.openxmlformats.org/officeDocument/2006/relationships/hyperlink" Target="consultantplus://offline/ref=4D5C24257578C11F654976412AF5D812A1B5CDA44C62C3FBD927115E77AE87DBD59647E92E4C4970F6CFFDE262B69E3B614BC02E3BD4E20BVEbAU" TargetMode="External"/><Relationship Id="rId37" Type="http://schemas.openxmlformats.org/officeDocument/2006/relationships/image" Target="media/image5.jpeg"/><Relationship Id="rId40" Type="http://schemas.openxmlformats.org/officeDocument/2006/relationships/hyperlink" Target="consultantplus://offline/ref=93BDB4BAD2B8FBEF65A60937943A6B4C3A1D03F7D558D7793B9FDBB7A1063FA878666E2BCA7274DF04621EBAE1845BDBCC4CAFC58D0DA38Bb6I9L" TargetMode="External"/><Relationship Id="rId45" Type="http://schemas.openxmlformats.org/officeDocument/2006/relationships/image" Target="media/image6.jpeg"/><Relationship Id="rId53" Type="http://schemas.openxmlformats.org/officeDocument/2006/relationships/hyperlink" Target="http://work.elcode.ru/subscribe/link/?hash=861958b0dca34d7d782992099e307223&amp;id_send=15490&amp;id_email=7526518&amp;url=https%3A%2F%2Fstorage.consultant.ru%2Fondb%2Fattachments%2F202009%2F14%2FAeogVU7TwRupI7iGAlLCy5x4TIisA1o2_eWl.pdf&amp;uid_news=786155" TargetMode="External"/><Relationship Id="rId58" Type="http://schemas.openxmlformats.org/officeDocument/2006/relationships/hyperlink" Target="http://work.elcode.ru/subscribe/link/?hash=861958b0dca34d7d782992099e307223&amp;id_send=15490&amp;id_email=7526518&amp;url=https%3A%2F%2Flogin.consultant.ru%2Flink%2F%3Freq%3Ddoc%26base%3DLAW%26n%3D356944%26dst%3D100003&amp;uid_news=786151" TargetMode="External"/><Relationship Id="rId66" Type="http://schemas.openxmlformats.org/officeDocument/2006/relationships/hyperlink" Target="http://work.elcode.ru/subscribe/link/?hash=861958b0dca34d7d782992099e307223&amp;id_send=15490&amp;id_email=7526518&amp;url=https%3A%2F%2Flogin.consultant.ru%2Flink%2F%3Freq%3Ddoc%26base%3DPKBO%26n%3D43309%26dst%3D100003&amp;uid_news=786101" TargetMode="External"/><Relationship Id="rId7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consultantplus://offline/ref=main?base=LAW;n=347277;dst=100081" TargetMode="External"/><Relationship Id="rId23" Type="http://schemas.openxmlformats.org/officeDocument/2006/relationships/hyperlink" Target="consultantplus://offline/ref=B6E70EA3F36C67150CCA49145380DD5DA224A2E2BED681D1006EF4A23D7A1125237D1E88A1D799716E6168154AE09276E585D1EFE5BF8AFEn1Z8U" TargetMode="External"/><Relationship Id="rId28" Type="http://schemas.openxmlformats.org/officeDocument/2006/relationships/image" Target="media/image4.jpeg"/><Relationship Id="rId36" Type="http://schemas.openxmlformats.org/officeDocument/2006/relationships/hyperlink" Target="http://work.elcode.ru/subscribe/link/?hash=861958b0dca34d7d782992099e307223&amp;id_send=15490&amp;id_email=7526518&amp;url=https%3A%2F%2Flogin.consultant.ru%2Flink%2F%3Freq%3Ddoc%26base%3DLAW%26n%3D361745%26dst%3D100004&amp;uid_news=786220" TargetMode="External"/><Relationship Id="rId49" Type="http://schemas.openxmlformats.org/officeDocument/2006/relationships/hyperlink" Target="http://work.elcode.ru/subscribe/link/?hash=861958b0dca34d7d782992099e307223&amp;id_send=15490&amp;id_email=7526518&amp;url=https%3A%2F%2Flogin.consultant.ru%2Flink%2F%3Freq%3Ddoc%26amp%3Bbase%3DLAW%26amp%3Bn%3D357520%26amp%3Bdst%3D100003&amp;uid_news=786163" TargetMode="External"/><Relationship Id="rId57" Type="http://schemas.openxmlformats.org/officeDocument/2006/relationships/hyperlink" Target="http://work.elcode.ru/subscribe/link/?hash=861958b0dca34d7d782992099e307223&amp;id_send=15490&amp;id_email=7526518&amp;url=https%3A%2F%2Flogin.consultant.ru%2Flink%2F%3Freq%3Ddoc%26amp%3Bbase%3DLAW%26amp%3Bn%3D355842%26amp%3Bdst%3D100002&amp;uid_news=786155" TargetMode="External"/><Relationship Id="rId61" Type="http://schemas.openxmlformats.org/officeDocument/2006/relationships/hyperlink" Target="http://work.elcode.ru/subscribe/link/?hash=861958b0dca34d7d782992099e307223&amp;id_send=15490&amp;id_email=7526518&amp;url=https%3A%2F%2Flogin.consultant.ru%2Flink%2F%3Freq%3Ddoc%26base%3DLAW%26n%3D361931%26dst%3D100003&amp;uid_news=786140" TargetMode="External"/><Relationship Id="rId10" Type="http://schemas.openxmlformats.org/officeDocument/2006/relationships/hyperlink" Target="consultantplus://offline/ref=main?base=LAW;n=362054;dst=100031" TargetMode="External"/><Relationship Id="rId19" Type="http://schemas.openxmlformats.org/officeDocument/2006/relationships/hyperlink" Target="consultantplus://offline/ref=main?base=LAW;n=362054;dst=100028" TargetMode="External"/><Relationship Id="rId31" Type="http://schemas.openxmlformats.org/officeDocument/2006/relationships/hyperlink" Target="consultantplus://offline/ref=4D5C24257578C11F654976412AF5D812A1B5CDA44C62C3FBD927115E77AE87DBD59647E92E4C4970FACFFDE262B69E3B614BC02E3BD4E20BVEbAU" TargetMode="External"/><Relationship Id="rId44" Type="http://schemas.openxmlformats.org/officeDocument/2006/relationships/hyperlink" Target="http://work.elcode.ru/subscribe/link/?hash=861958b0dca34d7d782992099e307223&amp;id_send=15490&amp;id_email=7526518&amp;url=https%3A%2F%2Flogin.consultant.ru%2Flink%2F%3Freq%3Ddoc%26base%3DQSBO%26n%3D21190%26dst%3D100003&amp;uid_news=786214" TargetMode="External"/><Relationship Id="rId52" Type="http://schemas.openxmlformats.org/officeDocument/2006/relationships/hyperlink" Target="consultantplus://offline/ref=AAE76EEE981855280E2CE9CB6A1EE5144FA5A6693BF69C2B6032393F3601D4A3677D5DFEC0B9D26537B1402AA6MDf6U" TargetMode="External"/><Relationship Id="rId60" Type="http://schemas.openxmlformats.org/officeDocument/2006/relationships/hyperlink" Target="http://work.elcode.ru/subscribe/link/?hash=861958b0dca34d7d782992099e307223&amp;id_send=15490&amp;id_email=7526518&amp;url=https%3A%2F%2Flogin.consultant.ru%2Flink%2F%3Freq%3Ddoc%26amp%3Bbase%3DLAW%26amp%3Bn%3D356944%26amp%3Bdst%3D100002&amp;uid_news=786151" TargetMode="External"/><Relationship Id="rId65" Type="http://schemas.openxmlformats.org/officeDocument/2006/relationships/hyperlink" Target="consultantplus://offline/ref=CCB701C96E06B7B25DAD6D7FF9C857251EBB2824DBFAD7CAAF7BFADB829FAC0A74FC113FB8B3344ED54E87E6454F02DBD03E50E558EB6409eCz6T" TargetMode="External"/><Relationship Id="rId73" Type="http://schemas.openxmlformats.org/officeDocument/2006/relationships/hyperlink" Target="consultantplus://offline/ref=8C9E171FE2AE290CDDF62AF1BBA621D0A648D6804C7EB94A6654378B5004A88892EF8AA0F291AB5FB3B32C14FB1DE5z7lEV" TargetMode="External"/><Relationship Id="rId4" Type="http://schemas.openxmlformats.org/officeDocument/2006/relationships/webSettings" Target="webSettings.xml"/><Relationship Id="rId9" Type="http://schemas.openxmlformats.org/officeDocument/2006/relationships/hyperlink" Target="http://work.elcode.ru/subscribe/link/?hash=861958b0dca34d7d782992099e307223&amp;id_send=15490&amp;id_email=7526518&amp;url=https%3A%2F%2Flogin.consultant.ru%2Flink%2F%3Freq%3Ddoc%26amp%3Bbase%3DLAW%26amp%3Bn%3D362054%26amp%3Bdst%3D1000000003&amp;uid_news=786274" TargetMode="External"/><Relationship Id="rId14" Type="http://schemas.openxmlformats.org/officeDocument/2006/relationships/hyperlink" Target="consultantplus://offline/ref=main?base=LAW;n=362054;dst=100051" TargetMode="External"/><Relationship Id="rId22" Type="http://schemas.openxmlformats.org/officeDocument/2006/relationships/hyperlink" Target="consultantplus://offline/ref=E2A1C77EA99C72B8A409886D80F51F18757D4D5BC99532222409FA7CDCBE4E7076520636A6920D5887CF529499DF7DA2D3229D98D3CDDB02B1CDBB12BDw5S" TargetMode="External"/><Relationship Id="rId27" Type="http://schemas.openxmlformats.org/officeDocument/2006/relationships/hyperlink" Target="http://work.elcode.ru/subscribe/link/?hash=861958b0dca34d7d782992099e307223&amp;id_send=15490&amp;id_email=7526518&amp;url=https%3A%2F%2Flogin.consultant.ru%2Flink%2F%3Freq%3Ddoc%26base%3DLAW%26n%3D361421%26dst%3D1000000003&amp;uid_news=786226" TargetMode="External"/><Relationship Id="rId30" Type="http://schemas.openxmlformats.org/officeDocument/2006/relationships/hyperlink" Target="consultantplus://offline/ref=4D5C24257578C11F654976412AF5D812A1B5CDA44C62C3FBD927115E77AE87DBD59647E92E4C4971FACFFDE262B69E3B614BC02E3BD4E20BVEbAU" TargetMode="External"/><Relationship Id="rId35" Type="http://schemas.openxmlformats.org/officeDocument/2006/relationships/hyperlink" Target="http://work.elcode.ru/subscribe/link/?hash=861958b0dca34d7d782992099e307223&amp;id_send=15490&amp;id_email=7526518&amp;url=https%3A%2F%2Flogin.consultant.ru%2Flink%2F%3Freq%3Ddoc%26amp%3Bbase%3DLAW%26amp%3Bn%3D361423%26amp%3Bdst%3D1000000003&amp;uid_news=786226" TargetMode="External"/><Relationship Id="rId43" Type="http://schemas.openxmlformats.org/officeDocument/2006/relationships/hyperlink" Target="consultantplus://offline/ref=main?base=LAW;n=361745;dst=100013" TargetMode="External"/><Relationship Id="rId48" Type="http://schemas.openxmlformats.org/officeDocument/2006/relationships/image" Target="media/image7.jpeg"/><Relationship Id="rId56" Type="http://schemas.openxmlformats.org/officeDocument/2006/relationships/hyperlink" Target="consultantplus://offline/ref=main?base=LAW;n=320719;dst=100005" TargetMode="External"/><Relationship Id="rId64" Type="http://schemas.openxmlformats.org/officeDocument/2006/relationships/hyperlink" Target="consultantplus://offline/ref=D7D32F3E28F45B6D66806C8CEE22318A7A1F92C8EA53792958328CFA67B77037E593344A4EF2BD87349FDDB23CBCz4T" TargetMode="External"/><Relationship Id="rId69" Type="http://schemas.openxmlformats.org/officeDocument/2006/relationships/hyperlink" Target="consultantplus://offline/ref=278BC6C8D0626C94CB229E284C387BCEE21A6CE139DAB5C4D10D4362F59B1FC293A9B5C2B83B2FE59C8F1043A478F3663F85722F76E35981XDbFU" TargetMode="External"/><Relationship Id="rId8" Type="http://schemas.openxmlformats.org/officeDocument/2006/relationships/image" Target="media/image2.jpeg"/><Relationship Id="rId51" Type="http://schemas.openxmlformats.org/officeDocument/2006/relationships/hyperlink" Target="consultantplus://offline/ref=AAE76EEE981855280E2CE9CB6A1EE5144EA3A26833F29C2B6032393F3601D4A3757D05F7C1BCCD6E6AFE067FA9D719D4C431F22C955AMAfFU" TargetMode="External"/><Relationship Id="rId72" Type="http://schemas.openxmlformats.org/officeDocument/2006/relationships/hyperlink" Target="consultantplus://offline/ref=8C9E171FE2AE290CDDF637E5A9CE1BD6FB40D0884E7DB41F315666DE5E01A0D8C8FF8EE9A698B45BA4AD270AFBz1lDV" TargetMode="External"/><Relationship Id="rId3" Type="http://schemas.openxmlformats.org/officeDocument/2006/relationships/settings" Target="settings.xml"/><Relationship Id="rId12" Type="http://schemas.openxmlformats.org/officeDocument/2006/relationships/hyperlink" Target="consultantplus://offline/ref=main?base=LAW;n=362054;dst=100039" TargetMode="External"/><Relationship Id="rId17" Type="http://schemas.openxmlformats.org/officeDocument/2006/relationships/hyperlink" Target="consultantplus://offline/ref=main?base=LAW;n=347277;dst=100033" TargetMode="External"/><Relationship Id="rId25" Type="http://schemas.openxmlformats.org/officeDocument/2006/relationships/hyperlink" Target="consultantplus://offline/ref=B6E70EA3F36C67150CCA49145380DD5DA224A2E2BED681D1006EF4A23D7A1125237D1E88A1D79973676168154AE09276E585D1EFE5BF8AFEn1Z8U" TargetMode="External"/><Relationship Id="rId33" Type="http://schemas.openxmlformats.org/officeDocument/2006/relationships/hyperlink" Target="consultantplus://offline/ref=4D5C24257578C11F654976412AF5D812A1B5CDA44C62C3FBD927115E77AE87DBD59647E92E4C4973FDCFFDE262B69E3B614BC02E3BD4E20BVEbAU" TargetMode="External"/><Relationship Id="rId38" Type="http://schemas.openxmlformats.org/officeDocument/2006/relationships/hyperlink" Target="http://work.elcode.ru/subscribe/link/?hash=861958b0dca34d7d782992099e307223&amp;id_send=15490&amp;id_email=7526518&amp;url=https%3A%2F%2Flogin.consultant.ru%2Flink%2F%3Freq%3Ddoc%26amp%3Bbase%3DLAW%26amp%3Bn%3D361745%26amp%3Bdst%3D1000000004&amp;uid_news=786220" TargetMode="External"/><Relationship Id="rId46" Type="http://schemas.openxmlformats.org/officeDocument/2006/relationships/hyperlink" Target="consultantplus://offline/ref=A3A24405114CBC830BA01B96DA25EFA1EC189F103F66EE85CB0C509DCAE0DDB0EAD05CA220CF279C47F7D4698213DF46F831070BA3769130b2fAU" TargetMode="External"/><Relationship Id="rId59" Type="http://schemas.openxmlformats.org/officeDocument/2006/relationships/image" Target="media/image9.jpeg"/><Relationship Id="rId67" Type="http://schemas.openxmlformats.org/officeDocument/2006/relationships/image" Target="media/image11.jpeg"/><Relationship Id="rId20" Type="http://schemas.openxmlformats.org/officeDocument/2006/relationships/hyperlink" Target="http://work.elcode.ru/subscribe/link/?hash=861958b0dca34d7d782992099e307223&amp;id_send=15490&amp;id_email=7526518&amp;url=https%3A%2F%2Flogin.consultant.ru%2Flink%2F%3Freq%3Ddoc%26base%3DLAW%26n%3D361453%26dst%3D1000000005&amp;uid_news=786234" TargetMode="External"/><Relationship Id="rId41" Type="http://schemas.openxmlformats.org/officeDocument/2006/relationships/hyperlink" Target="consultantplus://offline/ref=93BDB4BAD2B8FBEF65A60937943A6B4C3A1D03F7D558D7793B9FDBB7A1063FA878666E2BCA7274D904621EBAE1845BDBCC4CAFC58D0DA38Bb6I9L" TargetMode="External"/><Relationship Id="rId54" Type="http://schemas.openxmlformats.org/officeDocument/2006/relationships/image" Target="media/image8.jpeg"/><Relationship Id="rId62" Type="http://schemas.openxmlformats.org/officeDocument/2006/relationships/image" Target="media/image10.jpeg"/><Relationship Id="rId70" Type="http://schemas.openxmlformats.org/officeDocument/2006/relationships/hyperlink" Target="consultantplus://offline/ref=4A41679B516C808DB137BEDCB67967ED9F97C6E1C6D9A083FD8988B7DF0E9967C0C5F95D822C02137BC85AB62C315636C75F2C7292296E53oCh6U"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4ff248396b3debef3451ea254eecf60b@swift.genera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3727</Words>
  <Characters>21247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24925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2020-09-17T06:16:00Z</dcterms:created>
  <dcterms:modified xsi:type="dcterms:W3CDTF">2020-09-17T06:18:00Z</dcterms:modified>
</cp:coreProperties>
</file>