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55BB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5255BB" w:rsidRDefault="005255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</w:t>
                  </w:r>
                  <w:proofErr w:type="spellStart"/>
                  <w:r>
                    <w:t>КонсультантПлюс</w:t>
                  </w:r>
                  <w:proofErr w:type="spellEnd"/>
                  <w:r>
                    <w:t xml:space="preserve">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5255BB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5255BB" w:rsidRDefault="005255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707B"/>
                      <w:sz w:val="21"/>
                      <w:szCs w:val="21"/>
                    </w:rPr>
                    <w:drawing>
                      <wp:inline distT="0" distB="0" distL="0" distR="0">
                        <wp:extent cx="1323975" cy="219075"/>
                        <wp:effectExtent l="0" t="0" r="9525" b="9525"/>
                        <wp:docPr id="2" name="Рисунок 2" descr="see on site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ee on site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55BB" w:rsidRDefault="005255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5255BB" w:rsidRDefault="005255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1228725"/>
                  <wp:effectExtent l="0" t="0" r="0" b="9525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255BB" w:rsidRDefault="005255BB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255BB" w:rsidRDefault="005255BB">
            <w:pPr>
              <w:rPr>
                <w:rFonts w:eastAsia="Times New Roman"/>
              </w:rPr>
            </w:pPr>
            <w:hyperlink r:id="rId1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Обновлена таблица соответствия КВР и КОСГУ, применяемая государственными бюджетными учреждениями с 2020 года </w:t>
              </w:r>
            </w:hyperlink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255B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255BB" w:rsidRDefault="005255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17 августа 2020 года действует новая таблица соответствия КВР и КОСГУ. </w:t>
                  </w:r>
                </w:p>
              </w:tc>
            </w:tr>
          </w:tbl>
          <w:p w:rsidR="005255BB" w:rsidRDefault="005255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255BB" w:rsidRDefault="005255B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676275"/>
                  <wp:effectExtent l="0" t="0" r="9525" b="9525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Минфин России скорректировал </w:t>
            </w:r>
            <w:hyperlink r:id="rId12" w:history="1">
              <w:r>
                <w:rPr>
                  <w:rStyle w:val="a3"/>
                  <w:color w:val="0000FF"/>
                </w:rPr>
                <w:t>сопоставительную таблицу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видов расходов бюджетной классификации и статей (подстатей) КОСГУ. Добавлены следующие увязки: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3" w:history="1">
              <w:r>
                <w:rPr>
                  <w:rStyle w:val="a3"/>
                  <w:color w:val="0000FF"/>
                </w:rPr>
                <w:t>КВР 119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с </w:t>
            </w:r>
            <w:hyperlink r:id="rId14" w:history="1">
              <w:r>
                <w:rPr>
                  <w:rStyle w:val="a3"/>
                  <w:color w:val="0000FF"/>
                </w:rPr>
                <w:t>подстатьей 222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КОСГУ нужно использовать при отражении страховых взносов, которые начислены на компенсацию работнику стоимости проезда в служебных целях. Это касается выплат, установленных локальным актом учреждения;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5" w:history="1">
              <w:r>
                <w:rPr>
                  <w:rStyle w:val="a3"/>
                  <w:color w:val="0000FF"/>
                </w:rPr>
                <w:t>КВР 323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с </w:t>
            </w:r>
            <w:hyperlink r:id="rId16" w:history="1">
              <w:r>
                <w:rPr>
                  <w:rStyle w:val="a3"/>
                  <w:color w:val="0000FF"/>
                </w:rPr>
                <w:t>подстатьями 341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и </w:t>
            </w:r>
            <w:hyperlink r:id="rId17" w:history="1">
              <w:r>
                <w:rPr>
                  <w:rStyle w:val="a3"/>
                  <w:color w:val="0000FF"/>
                </w:rPr>
                <w:t>342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КОСГУ – при покупке лекарств и специальных молочных смесей для выдачи населению;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8" w:history="1">
              <w:r>
                <w:rPr>
                  <w:rStyle w:val="a3"/>
                  <w:color w:val="0000FF"/>
                </w:rPr>
                <w:t>КВР 323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с </w:t>
            </w:r>
            <w:hyperlink r:id="rId19" w:history="1">
              <w:r>
                <w:rPr>
                  <w:rStyle w:val="a3"/>
                  <w:color w:val="0000FF"/>
                </w:rPr>
                <w:t>подстатьей 226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КОСГУ – при выплате вознаграждения по договору опеки или попечительства, а также при отражении расходов ТФОМС, связанных с направлением страховым компаниям средств на ведение дел по ОМС;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" w:history="1">
              <w:r>
                <w:rPr>
                  <w:rStyle w:val="a3"/>
                  <w:color w:val="0000FF"/>
                </w:rPr>
                <w:t>КВР 323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с </w:t>
            </w:r>
            <w:hyperlink r:id="rId21" w:history="1">
              <w:r>
                <w:rPr>
                  <w:rStyle w:val="a3"/>
                  <w:color w:val="0000FF"/>
                </w:rPr>
                <w:t>подстатьей 261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КОСГУ – при учете расходов ТФОМС на оплату медпомощи, оказанной по территориальной программе ОМС. </w:t>
            </w: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255BB" w:rsidRDefault="005255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3" style="width:467.75pt;height:.75pt" o:hralign="center" o:hrstd="t" o:hr="t" fillcolor="gray" stroked="f"/>
              </w:pict>
            </w: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255BB" w:rsidRDefault="005255BB">
            <w:pPr>
              <w:rPr>
                <w:rFonts w:eastAsia="Times New Roman"/>
              </w:rPr>
            </w:pPr>
            <w:hyperlink r:id="rId2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смягчил условия перехода на упрощенный внутренний финансовый аудит </w:t>
              </w:r>
            </w:hyperlink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255B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255BB" w:rsidRDefault="005255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Риски: при упрощенном финансовом аудите руководитель возлагает обязанности по его проведению на себя. </w:t>
                  </w:r>
                </w:p>
              </w:tc>
            </w:tr>
          </w:tbl>
          <w:p w:rsidR="005255BB" w:rsidRDefault="005255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255BB" w:rsidRDefault="005255B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</w:t>
            </w:r>
            <w:hyperlink r:id="rId24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23.07.2020 № 150н внес изменения в </w:t>
            </w:r>
            <w:hyperlink r:id="rId25" w:history="1">
              <w:r>
                <w:rPr>
                  <w:rStyle w:val="a3"/>
                  <w:color w:val="0000FF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18.12.2019 № 237н «Об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аудита"». 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Приказе скорректированы основные </w:t>
            </w:r>
            <w:hyperlink r:id="rId26" w:history="1">
              <w:r>
                <w:rPr>
                  <w:rStyle w:val="a3"/>
                  <w:color w:val="0000FF"/>
                </w:rPr>
                <w:t>требования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которые должны соблюдаться для перехода на такую форму организац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ии ау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>дита. Теперь главные администраторы (администраторы) бюджетных средств смогут применять ее, даже если у них имеются подведомственные организации. При этом должно соблюдаться ограничение по количеству таких организаций: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не более двух администраторов бюджетных средств;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не более трех бюджетных и автономных учреждений, ГУП и МУП.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Одно из условий перехода на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упрощенный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финаудит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– </w:t>
            </w:r>
            <w:hyperlink r:id="rId27" w:history="1">
              <w:r>
                <w:rPr>
                  <w:rStyle w:val="a3"/>
                  <w:color w:val="0000FF"/>
                </w:rPr>
                <w:t>невозможность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передать полномочия по аудиту другому администратору или главному администратору бюджетных средств. Теперь в стандарте появилось уточнение: такое условие считается выполненным и в том случае, когда никто не соглашается принять полномочия по аудиту. 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Помимо этого, в стандарте предусмотрено дополнительное условие для изменения </w:t>
            </w:r>
            <w:hyperlink r:id="rId28" w:history="1">
              <w:r>
                <w:rPr>
                  <w:rStyle w:val="a3"/>
                  <w:color w:val="0000FF"/>
                </w:rPr>
                <w:t>формы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организац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ии ау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>дита. Выбранную в текущем году форму руководитель главного администратора (администратора) бюджетных средств может изменить не раньше следующего финансового года.  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Приказ вступает в силу 31 августа 2020 года.</w:t>
            </w: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255BB" w:rsidRDefault="005255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4" style="width:467.75pt;height:.75pt" o:hralign="center" o:hrstd="t" o:hr="t" fillcolor="gray" stroked="f"/>
              </w:pict>
            </w: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255BB" w:rsidRDefault="005255BB">
            <w:pPr>
              <w:rPr>
                <w:rFonts w:eastAsia="Times New Roman"/>
              </w:rPr>
            </w:pPr>
            <w:hyperlink r:id="rId2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Утверждены правила санкционирования операций со средствами во временном распоряжении федеральных ПБС </w:t>
              </w:r>
            </w:hyperlink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255B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255BB" w:rsidRDefault="005255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 января 2021 года сведения об операциях со средствами во временном распоряжении подаются по новым правилам санкционирования операций. </w:t>
                  </w:r>
                </w:p>
              </w:tc>
            </w:tr>
          </w:tbl>
          <w:p w:rsidR="005255BB" w:rsidRDefault="005255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255BB" w:rsidRDefault="005255B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Порядок санкционирования ТОФК утвержден </w:t>
            </w:r>
            <w:hyperlink r:id="rId31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23.06.2020 № 119н и начнет работать с 1 января 2021 года. Для санкционирования получатель средств федерального бюджета дополнительно </w:t>
            </w:r>
            <w:hyperlink r:id="rId32" w:history="1">
              <w:r>
                <w:rPr>
                  <w:rStyle w:val="a3"/>
                  <w:color w:val="0000FF"/>
                </w:rPr>
                <w:t>должен будет представить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в ТОФК </w:t>
            </w:r>
            <w:hyperlink r:id="rId33" w:history="1">
              <w:r>
                <w:rPr>
                  <w:rStyle w:val="a3"/>
                  <w:color w:val="0000FF"/>
                </w:rPr>
                <w:t>сведения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об операциях со средствами во временном распоряжении.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Чтобы ТОФК могли контролировать выбытие данных средств, введены специальные идентификаторы: </w:t>
            </w:r>
            <w:hyperlink r:id="rId34" w:history="1">
              <w:r>
                <w:rPr>
                  <w:rStyle w:val="a3"/>
                  <w:color w:val="0000FF"/>
                </w:rPr>
                <w:t>код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нормативного акта, идентификационные коды </w:t>
            </w:r>
            <w:hyperlink r:id="rId35" w:history="1">
              <w:r>
                <w:rPr>
                  <w:rStyle w:val="a3"/>
                  <w:color w:val="0000FF"/>
                </w:rPr>
                <w:t>поступлений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и </w:t>
            </w:r>
            <w:hyperlink r:id="rId36" w:history="1">
              <w:r>
                <w:rPr>
                  <w:rStyle w:val="a3"/>
                  <w:color w:val="0000FF"/>
                </w:rPr>
                <w:t>выплат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 В коде выплат, в частности, будет содержаться информация об одном из возможных </w:t>
            </w:r>
            <w:hyperlink r:id="rId37" w:history="1">
              <w:r>
                <w:rPr>
                  <w:rStyle w:val="a3"/>
                  <w:color w:val="0000FF"/>
                </w:rPr>
                <w:t>направлений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использования средств во временном распоряжении.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 xml:space="preserve"> </w:t>
            </w: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255BB" w:rsidRDefault="005255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45" style="width:467.75pt;height:.75pt" o:hralign="center" o:hrstd="t" o:hr="t" fillcolor="gray" stroked="f"/>
              </w:pict>
            </w: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255BB" w:rsidRDefault="005255BB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255BB" w:rsidRDefault="005255BB">
            <w:pPr>
              <w:rPr>
                <w:rFonts w:eastAsia="Times New Roman"/>
              </w:rPr>
            </w:pPr>
            <w:hyperlink r:id="rId3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правильно рассчитать оплату в нерабочий праздничный день без повышенной оплаты работнику, получающему оклад, если он не решил, когда ему взять день отдыха, – в этом месяце или в другом? </w:t>
              </w:r>
            </w:hyperlink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255B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255BB" w:rsidRDefault="005255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если за работу в выходной или праздничный день (за работу сверхурочно) сотрудник, находящийся на окладе, возьмет отгул в месяце, в котором он трудился, сверх оклада ему должна быть начислена сумма по одинарной дневной ставке. Если же он оформит отгул в любом другом месяце, день отдыха оплате не подлежит. При этом заработная плата (оклад) в том месяце, когда используется день отдыха, не уменьшается. </w:t>
                  </w:r>
                </w:p>
              </w:tc>
            </w:tr>
          </w:tbl>
          <w:p w:rsidR="005255BB" w:rsidRDefault="005255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255BB" w:rsidRDefault="005255B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40" w:history="1">
              <w:r>
                <w:rPr>
                  <w:rStyle w:val="a3"/>
                  <w:color w:val="0000FF"/>
                </w:rPr>
                <w:t>статье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«Как оплатить отгул работнику, получающему оклад?» в СПС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КонсультантПлюс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эксперт разъяснил следующее: в трудовом законодательстве нет положений, как рассчитать одинарную дневную ставку. По мнению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Роструда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>, она определяется исходя из оклада.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Конституционный суд, рассматривая вопрос оплаты труда в выходные и праздничные дни, решил, что во избежание ущемления прав работников труд в такие дни должен оплачиваться в двойном размере с учетом не только окладной части заработной платы, но и всех стимулирующих и компенсационных выплат. Автор статьи считает, что данный подход нужно распространить и на случай, когда работник вместо повышенной оплаты работы в выходной (праздник) выбирает отгул.</w:t>
            </w:r>
          </w:p>
          <w:p w:rsidR="005255BB" w:rsidRDefault="005255BB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 мнению эксперта, порядок оплаты труда должен быть закреплен в соответствующем положении. Для расчета можно использовать понятие «средний дневной заработок». </w:t>
            </w:r>
          </w:p>
        </w:tc>
      </w:tr>
      <w:tr w:rsidR="005255BB" w:rsidTr="005255B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255BB" w:rsidRDefault="005255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6" style="width:467.75pt;height:.75pt" o:hralign="center" o:hrstd="t" o:hr="t" fillcolor="gray" stroked="f"/>
              </w:pict>
            </w:r>
          </w:p>
        </w:tc>
      </w:tr>
    </w:tbl>
    <w:p w:rsidR="00F475EE" w:rsidRPr="005255BB" w:rsidRDefault="005255BB" w:rsidP="005255BB">
      <w:bookmarkStart w:id="0" w:name="_GoBack"/>
      <w:bookmarkEnd w:id="0"/>
    </w:p>
    <w:sectPr w:rsidR="00F475EE" w:rsidRPr="0052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D8"/>
    <w:rsid w:val="005255BB"/>
    <w:rsid w:val="00581FD8"/>
    <w:rsid w:val="009626CC"/>
    <w:rsid w:val="00CD3AF6"/>
    <w:rsid w:val="00D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FD8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581FD8"/>
  </w:style>
  <w:style w:type="character" w:customStyle="1" w:styleId="title-main">
    <w:name w:val="title-main"/>
    <w:basedOn w:val="a0"/>
    <w:rsid w:val="00581FD8"/>
  </w:style>
  <w:style w:type="paragraph" w:styleId="a5">
    <w:name w:val="Balloon Text"/>
    <w:basedOn w:val="a"/>
    <w:link w:val="a6"/>
    <w:uiPriority w:val="99"/>
    <w:semiHidden/>
    <w:unhideWhenUsed/>
    <w:rsid w:val="00581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FD8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581FD8"/>
  </w:style>
  <w:style w:type="character" w:customStyle="1" w:styleId="title-main">
    <w:name w:val="title-main"/>
    <w:basedOn w:val="a0"/>
    <w:rsid w:val="00581FD8"/>
  </w:style>
  <w:style w:type="paragraph" w:styleId="a5">
    <w:name w:val="Balloon Text"/>
    <w:basedOn w:val="a"/>
    <w:link w:val="a6"/>
    <w:uiPriority w:val="99"/>
    <w:semiHidden/>
    <w:unhideWhenUsed/>
    <w:rsid w:val="00581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consultantplus://offline/ref=main?base=LAW;n=355814;dst=101738" TargetMode="External"/><Relationship Id="rId18" Type="http://schemas.openxmlformats.org/officeDocument/2006/relationships/hyperlink" Target="consultantplus://offline/ref=main?base=LAW;n=355814;dst=101893" TargetMode="External"/><Relationship Id="rId26" Type="http://schemas.openxmlformats.org/officeDocument/2006/relationships/hyperlink" Target="consultantplus://offline/ref=main?base=LAW;n=340638;dst=100050" TargetMode="External"/><Relationship Id="rId39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29954;dst=100644" TargetMode="External"/><Relationship Id="rId34" Type="http://schemas.openxmlformats.org/officeDocument/2006/relationships/hyperlink" Target="consultantplus://offline/ref=main?base=LAW;n=359912;dst=100015" TargetMode="External"/><Relationship Id="rId42" Type="http://schemas.openxmlformats.org/officeDocument/2006/relationships/theme" Target="theme/theme1.xml"/><Relationship Id="rId7" Type="http://schemas.openxmlformats.org/officeDocument/2006/relationships/image" Target="cid:6a246a2f921c8cc61c27b3eded7b27e7@swift.generated" TargetMode="External"/><Relationship Id="rId12" Type="http://schemas.openxmlformats.org/officeDocument/2006/relationships/hyperlink" Target="consultantplus://offline/ref=main?base=LAW;n=360377;dst=0" TargetMode="External"/><Relationship Id="rId17" Type="http://schemas.openxmlformats.org/officeDocument/2006/relationships/hyperlink" Target="consultantplus://offline/ref=main?base=LAW;n=329954;dst=100811" TargetMode="External"/><Relationship Id="rId25" Type="http://schemas.openxmlformats.org/officeDocument/2006/relationships/hyperlink" Target="consultantplus://offline/ref=8CF65AD05EDB227A2B60D2A31B2788193644B78CD7B7EBE975AA2123176D93613CD9EC1114E1164C4995F0C72A938388D520DD6D13C9DA74mFz5M" TargetMode="External"/><Relationship Id="rId33" Type="http://schemas.openxmlformats.org/officeDocument/2006/relationships/hyperlink" Target="consultantplus://offline/ref=main?base=LAW;n=359912;dst=100124" TargetMode="External"/><Relationship Id="rId38" Type="http://schemas.openxmlformats.org/officeDocument/2006/relationships/hyperlink" Target="http://work.elcode.ru/subscribe/link/?hash=29c1b0a9c29ba5eb25cd1eee6868e94a&amp;id_send=15395&amp;id_email=7338731&amp;url=https%3A%2F%2Flogin.consultant.ru%2Flink%2F%3Freq%3Ddoc%26base%3DPKBO%26n%3D42314%26dst%3D100002&amp;uid_news=7763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main?base=LAW;n=329954;dst=336" TargetMode="External"/><Relationship Id="rId20" Type="http://schemas.openxmlformats.org/officeDocument/2006/relationships/hyperlink" Target="consultantplus://offline/ref=main?base=LAW;n=355814;dst=101893" TargetMode="External"/><Relationship Id="rId29" Type="http://schemas.openxmlformats.org/officeDocument/2006/relationships/hyperlink" Target="http://work.elcode.ru/subscribe/link/?hash=29c1b0a9c29ba5eb25cd1eee6868e94a&amp;id_send=15395&amp;id_email=7338731&amp;url=https%3A%2F%2Flogin.consultant.ru%2Flink%2F%3Freq%3Ddoc%26base%3DLAW%26n%3D359912%26dst%3D100003&amp;uid_news=77633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://work.elcode.ru/subscribe/link/?hash=29c1b0a9c29ba5eb25cd1eee6868e94a&amp;id_send=15395&amp;id_email=7338731&amp;url=https%3A%2F%2Flogin.consultant.ru%2Flink%2F%3Freq%3Ddoc%26amp%3Bbase%3DLAW%26amp%3Bn%3D360359%26amp%3Bdst%3D1000000006&amp;uid_news=776338" TargetMode="External"/><Relationship Id="rId32" Type="http://schemas.openxmlformats.org/officeDocument/2006/relationships/hyperlink" Target="consultantplus://offline/ref=main?base=LAW;n=359912;dst=100031" TargetMode="External"/><Relationship Id="rId37" Type="http://schemas.openxmlformats.org/officeDocument/2006/relationships/hyperlink" Target="consultantplus://offline/ref=main?base=LAW;n=359912;dst=100019" TargetMode="External"/><Relationship Id="rId40" Type="http://schemas.openxmlformats.org/officeDocument/2006/relationships/hyperlink" Target="http://work.elcode.ru/subscribe/link/?hash=29c1b0a9c29ba5eb25cd1eee6868e94a&amp;id_send=15395&amp;id_email=7338731&amp;url=https%3A%2F%2Flogin.consultant.ru%2Flink%2F%3Freq%3Ddoc%26amp%3Bbase%3DPKBO%26amp%3Bn%3D42314%26amp%3Bdst%3D100002&amp;uid_news=776331" TargetMode="External"/><Relationship Id="rId5" Type="http://schemas.openxmlformats.org/officeDocument/2006/relationships/hyperlink" Target="http://work.elcode.ru/subscribe/mail/?hash=29c1b0a9c29ba5eb25cd1eee6868e94a&amp;id_send=15395&amp;id_email=7338731" TargetMode="External"/><Relationship Id="rId15" Type="http://schemas.openxmlformats.org/officeDocument/2006/relationships/hyperlink" Target="consultantplus://offline/ref=main?base=LAW;n=355814;dst=101893" TargetMode="External"/><Relationship Id="rId23" Type="http://schemas.openxmlformats.org/officeDocument/2006/relationships/image" Target="media/image4.jpeg"/><Relationship Id="rId28" Type="http://schemas.openxmlformats.org/officeDocument/2006/relationships/hyperlink" Target="consultantplus://offline/ref=main?base=LAW;n=340638;dst=100015" TargetMode="External"/><Relationship Id="rId36" Type="http://schemas.openxmlformats.org/officeDocument/2006/relationships/hyperlink" Target="consultantplus://offline/ref=main?base=LAW;n=359912;dst=100068" TargetMode="External"/><Relationship Id="rId10" Type="http://schemas.openxmlformats.org/officeDocument/2006/relationships/hyperlink" Target="http://work.elcode.ru/subscribe/link/?hash=29c1b0a9c29ba5eb25cd1eee6868e94a&amp;id_send=15395&amp;id_email=7338731&amp;url=https%3A%2F%2Flogin.consultant.ru%2Flink%2F%3Freq%3Ddoc%26base%3DLAW%26n%3D360377%26dst%3D1000000004&amp;uid_news=776341" TargetMode="External"/><Relationship Id="rId19" Type="http://schemas.openxmlformats.org/officeDocument/2006/relationships/hyperlink" Target="consultantplus://offline/ref=main?base=LAW;n=329954;dst=100494" TargetMode="External"/><Relationship Id="rId31" Type="http://schemas.openxmlformats.org/officeDocument/2006/relationships/hyperlink" Target="http://work.elcode.ru/subscribe/link/?hash=29c1b0a9c29ba5eb25cd1eee6868e94a&amp;id_send=15395&amp;id_email=7338731&amp;url=https%3A%2F%2Flogin.consultant.ru%2Flink%2F%3Freq%3Ddoc%26amp%3Bbase%3DLAW%26amp%3Bn%3D359912%26amp%3Bdst%3D1000000005&amp;uid_news=776333" TargetMode="External"/><Relationship Id="rId4" Type="http://schemas.openxmlformats.org/officeDocument/2006/relationships/webSettings" Target="webSettings.xml"/><Relationship Id="rId9" Type="http://schemas.openxmlformats.org/officeDocument/2006/relationships/image" Target="cid:f360940b05497a7dd8845e1b9cf135a5@swift.generated" TargetMode="External"/><Relationship Id="rId14" Type="http://schemas.openxmlformats.org/officeDocument/2006/relationships/hyperlink" Target="consultantplus://offline/ref=main?base=LAW;n=329954;dst=100429" TargetMode="External"/><Relationship Id="rId22" Type="http://schemas.openxmlformats.org/officeDocument/2006/relationships/hyperlink" Target="http://work.elcode.ru/subscribe/link/?hash=29c1b0a9c29ba5eb25cd1eee6868e94a&amp;id_send=15395&amp;id_email=7338731&amp;url=https%3A%2F%2Flogin.consultant.ru%2Flink%2F%3Freq%3Ddoc%26base%3DLAW%26n%3D360359%26dst%3D100004&amp;uid_news=776338" TargetMode="External"/><Relationship Id="rId27" Type="http://schemas.openxmlformats.org/officeDocument/2006/relationships/hyperlink" Target="consultantplus://offline/ref=main?base=LAW;n=340638;dst=100052" TargetMode="External"/><Relationship Id="rId30" Type="http://schemas.openxmlformats.org/officeDocument/2006/relationships/image" Target="media/image5.jpeg"/><Relationship Id="rId35" Type="http://schemas.openxmlformats.org/officeDocument/2006/relationships/hyperlink" Target="consultantplus://offline/ref=main?base=LAW;n=359912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Скрыпникова Екатерина Анатольевна</dc:creator>
  <cp:lastModifiedBy>Малкова Екатерина Сергеевна</cp:lastModifiedBy>
  <cp:revision>3</cp:revision>
  <dcterms:created xsi:type="dcterms:W3CDTF">2019-02-20T13:40:00Z</dcterms:created>
  <dcterms:modified xsi:type="dcterms:W3CDTF">2020-08-27T13:34:00Z</dcterms:modified>
</cp:coreProperties>
</file>