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shd w:val="clear" w:color="auto" w:fill="DDDEE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1371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251371" w:rsidRDefault="0025137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title-main"/>
                      <w:rFonts w:ascii="Arial" w:eastAsia="Times New Roman" w:hAnsi="Arial" w:cs="Arial"/>
                      <w:b/>
                      <w:bCs/>
                      <w:color w:val="333333"/>
                    </w:rPr>
                    <w:t xml:space="preserve">Здравствуйте!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br/>
                  </w:r>
                  <w:r>
                    <w:t xml:space="preserve">Обратите внимание на подборку новых документов, включенных в систему КонсультантПлюс за прошедшую неделю. По мнению наших экспертов, именно эти документы будут интересны Вам в первую очередь. </w:t>
                  </w:r>
                </w:p>
              </w:tc>
            </w:tr>
            <w:tr w:rsidR="00251371">
              <w:trPr>
                <w:jc w:val="center"/>
              </w:trPr>
              <w:tc>
                <w:tcPr>
                  <w:tcW w:w="8100" w:type="dxa"/>
                  <w:shd w:val="clear" w:color="auto" w:fill="DDDEE2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vAlign w:val="center"/>
                  <w:hideMark/>
                </w:tcPr>
                <w:p w:rsidR="00251371" w:rsidRDefault="0025137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51371" w:rsidRDefault="0025137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251371" w:rsidRDefault="00251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5F84806" wp14:editId="60EFD848">
                  <wp:extent cx="5715000" cy="1228725"/>
                  <wp:effectExtent l="0" t="0" r="0" b="9525"/>
                  <wp:docPr id="1" name="Рисунок 1" descr="Tit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51371" w:rsidRDefault="0025137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ВАЖНО ЗНАТЬ БУХГАЛТЕРУ 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51371" w:rsidRDefault="00251371">
            <w:pPr>
              <w:rPr>
                <w:rFonts w:eastAsia="Times New Roman"/>
              </w:rPr>
            </w:pPr>
            <w:hyperlink r:id="rId7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Бюджетная смета на 2021 год: составляем по новым рекомендациям Минфина </w:t>
              </w:r>
            </w:hyperlink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5137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51371" w:rsidRDefault="0025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при составлении и ведении бюджетных смет на 2021 год и на плановый период 2022 и 2023 годов федеральным казенным учреждениям необходимо руководствоваться новыми рекомендациями. </w:t>
                  </w:r>
                </w:p>
              </w:tc>
            </w:tr>
          </w:tbl>
          <w:p w:rsidR="00251371" w:rsidRDefault="002513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1371" w:rsidRDefault="002513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59264" behindDoc="0" locked="0" layoutInCell="1" allowOverlap="0" wp14:anchorId="3F3090B2" wp14:editId="452BC85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Минфин России утвердил новые </w:t>
            </w:r>
            <w:hyperlink r:id="rId9" w:history="1">
              <w:r>
                <w:rPr>
                  <w:rStyle w:val="a3"/>
                  <w:color w:val="0000FF"/>
                </w:rPr>
                <w:t>Методические рекомендации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для федеральных казенных учреждений, в которых предусмотрены дополнительные формы обоснований (расчетов) плановых сметных показателей, и поправки к формам, предназначенные для формирования и ведения бюджетной сметы на 2021 год и плановый период 2022 и 2023 годов.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новой редакции изложены 48 форм, установленных </w:t>
            </w:r>
            <w:hyperlink r:id="rId10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Минфина России от 20.06.2018 № 139н.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51371" w:rsidRDefault="00251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467.75pt;height:.75pt" o:hralign="center" o:hrstd="t" o:hr="t" fillcolor="gray" stroked="f"/>
              </w:pic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51371" w:rsidRDefault="00251371">
            <w:pPr>
              <w:rPr>
                <w:rFonts w:eastAsia="Times New Roman"/>
              </w:rPr>
            </w:pPr>
            <w:hyperlink r:id="rId1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Облагается ли страховыми взносами премия к праздникам и памятным датам </w:t>
              </w:r>
            </w:hyperlink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5137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51371" w:rsidRDefault="0025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премии за производственные результаты, премии к праздникам и памятным датам подлежат обложению страховыми взносами в общеустановленном порядке как выплаты, производимые в рамках трудовых отношений. </w:t>
                  </w:r>
                </w:p>
              </w:tc>
            </w:tr>
          </w:tbl>
          <w:p w:rsidR="00251371" w:rsidRDefault="002513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1371" w:rsidRDefault="002513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0288" behindDoc="0" locked="0" layoutInCell="1" allowOverlap="0" wp14:anchorId="68113465" wp14:editId="7713F6B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3" name="Рисунок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Арбитражный суд Поволжского округа в </w:t>
            </w:r>
            <w:hyperlink r:id="rId13" w:history="1">
              <w:r>
                <w:rPr>
                  <w:rStyle w:val="a3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16.06.2020 № Ф06-60061/20 поддержал решение налогового органа.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Предприятие, отмечая 50-летие с момента создания, </w:t>
            </w:r>
            <w:hyperlink r:id="rId14" w:history="1">
              <w:r>
                <w:rPr>
                  <w:rStyle w:val="a3"/>
                  <w:color w:val="0000FF"/>
                </w:rPr>
                <w:t>выплатило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своим сотрудникам единоразовую премию. Взносы с данных сумм заплачены не были, и налоговые органы посчитали это неправомерным. Спор дошел до суда.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Но от первой инстанции до кассации судьи были на стороне налоговой инспекции, поскольку было установлено, что: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премия была выдана только работникам (бывшим сотрудникам предприятия и сотрудникам в отпуске по уходу за ребенком ее не выплачивали);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размер премии определялся в приказе директора и зависел от квалификации работников, сложности, качества, количества выполняемой работы;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– в коллективном договоре в разделе о выплатах социального характера премии к юбилею не было.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результате суды </w:t>
            </w:r>
            <w:hyperlink r:id="rId15" w:history="1">
              <w:r>
                <w:rPr>
                  <w:rStyle w:val="a3"/>
                  <w:color w:val="0000FF"/>
                </w:rPr>
                <w:t>пришли к выводу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: выплата премии зависит от результатов труда и носит стимулирующий характер. Значит, она </w:t>
            </w:r>
            <w:hyperlink r:id="rId16" w:history="1">
              <w:r>
                <w:rPr>
                  <w:rStyle w:val="a3"/>
                  <w:color w:val="0000FF"/>
                </w:rPr>
                <w:t>должна облагаться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страховыми взносами.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Отметим, если бы организации удалось доказать, что премия не зависит от результатов труда и не является стимулирующей, вывод суда был бы иным. Такие выплаты обычно признают </w:t>
            </w:r>
            <w:hyperlink r:id="rId17" w:history="1">
              <w:r>
                <w:rPr>
                  <w:rStyle w:val="a3"/>
                  <w:color w:val="0000FF"/>
                </w:rPr>
                <w:t>социальными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взносы на них не начисляют.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Однако важно учитывать, что решение не начислять взносы неизбежно привлечет внимание контролеров. Дело в том, что Минфин РФ в </w:t>
            </w:r>
            <w:hyperlink r:id="rId18" w:history="1">
              <w:r>
                <w:rPr>
                  <w:rStyle w:val="a3"/>
                  <w:color w:val="0000FF"/>
                </w:rPr>
                <w:t>Письме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25.10.2018 № 03-15-06/76608 разъяснил: премии к памятным датам облагаются страховыми взносами, поскольку таких выплат в </w:t>
            </w:r>
            <w:hyperlink r:id="rId19" w:history="1">
              <w:r>
                <w:rPr>
                  <w:rStyle w:val="a3"/>
                  <w:color w:val="0000FF"/>
                </w:rPr>
                <w:t>перечне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необлагаемых сумм нет.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В </w:t>
            </w:r>
            <w:hyperlink r:id="rId20" w:history="1">
              <w:r>
                <w:rPr>
                  <w:rStyle w:val="a3"/>
                  <w:color w:val="0000FF"/>
                </w:rPr>
                <w:t>обзоре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«На какие выплаты сотрудникам суды разрешают не начислять взносы?» и </w:t>
            </w:r>
            <w:hyperlink r:id="rId21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«Как облагаются страховыми взносами различные виды выплат» в СПС КонсультантПлюс представлены разъяснения по схожим вопросам.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51371" w:rsidRDefault="00251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6" style="width:467.75pt;height:.75pt" o:hralign="center" o:hrstd="t" o:hr="t" fillcolor="gray" stroked="f"/>
              </w:pic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51371" w:rsidRDefault="00251371">
            <w:pPr>
              <w:rPr>
                <w:rFonts w:eastAsia="Times New Roman"/>
              </w:rPr>
            </w:pPr>
            <w:hyperlink r:id="rId22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Стимулирующие выплаты за работу с COVID-19: кому, когда и сколько </w:t>
              </w:r>
            </w:hyperlink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5137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51371" w:rsidRDefault="0025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Правительство РФ выделило дополнительные средства на стимулирующие выплаты медицинским работникам за особые условия труда и допнагрузку. </w:t>
                  </w:r>
                </w:p>
              </w:tc>
            </w:tr>
          </w:tbl>
          <w:p w:rsidR="00251371" w:rsidRDefault="002513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1371" w:rsidRDefault="002513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1312" behindDoc="0" locked="0" layoutInCell="1" allowOverlap="0" wp14:anchorId="480248A5" wp14:editId="1AA9C3B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4" name="Рисунок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Распоряжениями Правительства РФ от 06.08.2020 № </w:t>
            </w:r>
            <w:hyperlink r:id="rId24" w:history="1">
              <w:r>
                <w:rPr>
                  <w:rStyle w:val="a3"/>
                  <w:color w:val="0000FF"/>
                </w:rPr>
                <w:t>2042-р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и № </w:t>
            </w:r>
            <w:hyperlink r:id="rId25" w:history="1">
              <w:r>
                <w:rPr>
                  <w:rStyle w:val="a3"/>
                  <w:color w:val="0000FF"/>
                </w:rPr>
                <w:t>2043-р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целях софинансирования в полном объеме расходных обязательств субъектов Российской Федерации по финансовому обеспечению выплат стимулирующего характера из резервного фонда Правительства </w:t>
            </w:r>
            <w:hyperlink r:id="rId26" w:history="1">
              <w:r>
                <w:rPr>
                  <w:rStyle w:val="a3"/>
                  <w:color w:val="0000FF"/>
                </w:rPr>
                <w:t>выделено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 более 9 млрд руб. на </w:t>
            </w:r>
            <w:hyperlink r:id="rId27" w:history="1">
              <w:r>
                <w:rPr>
                  <w:rStyle w:val="a3"/>
                  <w:color w:val="0000FF"/>
                </w:rPr>
                <w:t>выплаты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за особые условия труда и допнагрузку медработникам. Эти средства предназначены тем, кто оказывает помощь заболевшим коронавирусной инфекцией, и лицам из групп риска заражения.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Кроме того, регионы </w:t>
            </w:r>
            <w:hyperlink r:id="rId28" w:history="1">
              <w:r>
                <w:rPr>
                  <w:rStyle w:val="a3"/>
                  <w:color w:val="0000FF"/>
                </w:rPr>
                <w:t>получат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почти 5 млрд руб. на президентские выплаты медицинским и иным </w:t>
            </w:r>
            <w:hyperlink r:id="rId29" w:history="1">
              <w:r>
                <w:rPr>
                  <w:rStyle w:val="a3"/>
                  <w:color w:val="0000FF"/>
                </w:rPr>
                <w:t>работникам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непосредственно участвующим в оказании </w:t>
            </w:r>
            <w:r>
              <w:rPr>
                <w:rFonts w:ascii="Calibri" w:hAnsi="Calibri" w:cs="Arial"/>
                <w:color w:val="444444"/>
                <w:sz w:val="22"/>
                <w:szCs w:val="22"/>
              </w:rPr>
              <w:lastRenderedPageBreak/>
              <w:t xml:space="preserve">помощи гражданам с COVID-19. Напомним, такие выплаты </w:t>
            </w:r>
            <w:hyperlink r:id="rId30" w:history="1">
              <w:r>
                <w:rPr>
                  <w:rStyle w:val="a3"/>
                  <w:color w:val="0000FF"/>
                </w:rPr>
                <w:t>были продлены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июль и август 2020 года.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Контроль за целевым и эффективным использованием бюджетных ассигнований с представлением доклада в Правительство РФ до 1 октября 2020 года будет осуществлять Минздрав России.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51371" w:rsidRDefault="00251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pict>
                <v:rect id="_x0000_i1027" style="width:467.75pt;height:.75pt" o:hralign="center" o:hrstd="t" o:hr="t" fillcolor="gray" stroked="f"/>
              </w:pic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51371" w:rsidRDefault="00251371">
            <w:pPr>
              <w:rPr>
                <w:rFonts w:eastAsia="Times New Roman"/>
              </w:rPr>
            </w:pPr>
            <w:hyperlink r:id="rId3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Обновлены статформы по оплате труда </w:t>
              </w:r>
            </w:hyperlink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5137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51371" w:rsidRDefault="0025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Риски: с отчета за январь 2021 года необходимо руководствоваться обновленными формами федерального статистического наблюдения. </w:t>
                  </w:r>
                </w:p>
              </w:tc>
            </w:tr>
          </w:tbl>
          <w:p w:rsidR="00251371" w:rsidRDefault="002513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1371" w:rsidRDefault="002513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2336" behindDoc="0" locked="0" layoutInCell="1" allowOverlap="0" wp14:anchorId="1CA8D950" wp14:editId="14A59D9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5" name="Рисунок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Росстат </w:t>
            </w:r>
            <w:hyperlink r:id="rId33" w:history="1">
              <w:r>
                <w:rPr>
                  <w:rStyle w:val="a3"/>
                  <w:color w:val="0000FF"/>
                </w:rPr>
                <w:t>Приказом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от 24.07.2020 № 412 </w:t>
            </w:r>
            <w:hyperlink r:id="rId34" w:history="1">
              <w:r>
                <w:rPr>
                  <w:rStyle w:val="a3"/>
                  <w:color w:val="0000FF"/>
                </w:rPr>
                <w:t>скорректировал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ряд отчетов статнаблюдения за численностью, условиями и оплатой труда, потребностью организаций в работниках по профгруппам. Всего обновили 14 форм. Среди них: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35" w:history="1">
              <w:r>
                <w:rPr>
                  <w:rStyle w:val="a3"/>
                  <w:color w:val="0000FF"/>
                </w:rPr>
                <w:t>№ П-4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«Сведения о численности и заработной плате работников»;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36" w:history="1">
              <w:r>
                <w:rPr>
                  <w:rStyle w:val="a3"/>
                  <w:color w:val="0000FF"/>
                </w:rPr>
                <w:t>№ 3-Ф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«Сведения о просроченной задолженности по заработной плате»;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– </w:t>
            </w:r>
            <w:hyperlink r:id="rId37" w:history="1">
              <w:r>
                <w:rPr>
                  <w:rStyle w:val="a3"/>
                  <w:color w:val="0000FF"/>
                </w:rPr>
                <w:t>№ 1-Т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«Сведения о численности и заработной плате работников».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Кроме того, уточнили порядок заполнения форм. Большинство обновленных бланков пригодится в 2021 году.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Некоторые правки незначительные или технические, но есть и существенные изменения. Рассмотрим несколько корректировок.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Для отчета № П-4 «Сведения о численности и заработной плате работников» скорректировали порядок заполнения. </w:t>
            </w:r>
            <w:hyperlink r:id="rId38" w:history="1">
              <w:r>
                <w:rPr>
                  <w:rStyle w:val="a3"/>
                  <w:color w:val="0000FF"/>
                </w:rPr>
                <w:t>Убрали пояснение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том, что в случае отсутствия сведений в территориальный орган можно направить информационное письмо об этом. </w:t>
            </w:r>
            <w:hyperlink r:id="rId39" w:history="1">
              <w:r>
                <w:rPr>
                  <w:rStyle w:val="a3"/>
                  <w:color w:val="0000FF"/>
                </w:rPr>
                <w:t>По новым правилам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можно будет направлять только пустой отчет. Также разъяснено следующее: в форму не включают сведения по обособленным подразделениям, которые ведут деятельность за пределами РФ.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0" w:history="1">
              <w:r>
                <w:rPr>
                  <w:rStyle w:val="a3"/>
                  <w:color w:val="0000FF"/>
                </w:rPr>
                <w:t>В отчете № 3-Ф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«Сведения о просроченной задолженности по заработной плате» обновили годы для заполнения данных </w:t>
            </w:r>
            <w:hyperlink r:id="rId41" w:history="1">
              <w:r>
                <w:rPr>
                  <w:rStyle w:val="a3"/>
                  <w:color w:val="0000FF"/>
                </w:rPr>
                <w:t>по строкам 09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-</w:t>
            </w:r>
            <w:hyperlink r:id="rId42" w:history="1">
              <w:r>
                <w:rPr>
                  <w:rStyle w:val="a3"/>
                  <w:color w:val="0000FF"/>
                </w:rPr>
                <w:t>11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. Для зарубежных подразделений в порядок заполнения </w:t>
            </w:r>
            <w:hyperlink r:id="rId43" w:history="1">
              <w:r>
                <w:rPr>
                  <w:rStyle w:val="a3"/>
                  <w:color w:val="0000FF"/>
                </w:rPr>
                <w:t>внесли уточнения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>, как и для формы № П-4. Также внесли пояснения для юрлиц в стадии конкурсного производства: задолженность перед конкурсным управляющим не включается в общую сумму просроченного долга по зарплате.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Подробнее о том, как заполнять форму № П-4 в 2020 году, Вы можете узнать в </w:t>
            </w:r>
            <w:hyperlink r:id="rId44" w:history="1">
              <w:r>
                <w:rPr>
                  <w:rStyle w:val="a3"/>
                  <w:color w:val="0000FF"/>
                </w:rPr>
                <w:t>Готовом решении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в СПС КонсультантПлюс.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51371" w:rsidRDefault="00251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8" style="width:467.75pt;height:.75pt" o:hralign="center" o:hrstd="t" o:hr="t" fillcolor="gray" stroked="f"/>
              </w:pic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51371" w:rsidRDefault="00251371">
            <w:pPr>
              <w:rPr>
                <w:rFonts w:eastAsia="Times New Roman"/>
              </w:rPr>
            </w:pPr>
            <w:hyperlink r:id="rId45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Дистанционные предсменные и послесменные медосмотры: быть или не быть </w:t>
              </w:r>
            </w:hyperlink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5137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51371" w:rsidRDefault="0025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медосмотры перед сменами водителей планируют разрешить проводить дистанционно. </w:t>
                  </w:r>
                </w:p>
              </w:tc>
            </w:tr>
          </w:tbl>
          <w:p w:rsidR="00251371" w:rsidRDefault="002513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1371" w:rsidRDefault="002513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anchor distT="0" distB="0" distL="142875" distR="142875" simplePos="0" relativeHeight="251663360" behindDoc="0" locked="0" layoutInCell="1" allowOverlap="0" wp14:anchorId="2EB8FBA7" wp14:editId="099AFD9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6" name="Рисунок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Минздрав подготовил </w:t>
            </w:r>
            <w:hyperlink r:id="rId47" w:history="1">
              <w:r>
                <w:rPr>
                  <w:rStyle w:val="a3"/>
                  <w:color w:val="0000FF"/>
                </w:rPr>
                <w:t>законопроект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о совершенствовании законодательства в сфере медицинского обеспечения безопасности дорожного движения с применением телемедицины.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Согласно </w:t>
            </w:r>
            <w:hyperlink r:id="rId48" w:history="1">
              <w:r>
                <w:rPr>
                  <w:rStyle w:val="a3"/>
                  <w:color w:val="0000FF"/>
                </w:rPr>
                <w:t>проекту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работодатели </w:t>
            </w:r>
            <w:hyperlink r:id="rId49" w:history="1">
              <w:r>
                <w:rPr>
                  <w:rStyle w:val="a3"/>
                  <w:color w:val="0000FF"/>
                </w:rPr>
                <w:t>смогут использовать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технические средства, которые позволяют дистанционно контролировать состояние здоровья работников. Применять их можно будет во время медосмотров отдельных сотрудников в начале (до начала), в течение и (или) в конце рабочего дня.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Работников, которые проходят обследование дистанционно, нужно будет регулярно </w:t>
            </w:r>
            <w:hyperlink r:id="rId50" w:history="1">
              <w:r>
                <w:rPr>
                  <w:rStyle w:val="a3"/>
                  <w:color w:val="0000FF"/>
                </w:rPr>
                <w:t>проверять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на наличие в организме наркотических средств, психотропных веществ и их метаболитов.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Кратность таких проверок, а также особенности использования техсредств планируют установить в специальных порядках, разработанных Минздравом.</w:t>
            </w:r>
            <w:r>
              <w:rPr>
                <w:rFonts w:ascii="Calibri" w:hAnsi="Calibri" w:cs="Arial"/>
                <w:b/>
                <w:bCs/>
                <w:color w:val="444444"/>
                <w:sz w:val="22"/>
                <w:szCs w:val="22"/>
              </w:rPr>
              <w:t xml:space="preserve"> 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51371" w:rsidRDefault="00251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9" style="width:467.75pt;height:.75pt" o:hralign="center" o:hrstd="t" o:hr="t" fillcolor="gray" stroked="f"/>
              </w:pic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D0D1D3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251371" w:rsidRDefault="00251371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ЦЕНТР ОПЕРАТИВНОГО КОНСУЛЬТИРОВАНИЯ ОТВЕЧАЕТ 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251371" w:rsidRDefault="00251371">
            <w:pPr>
              <w:rPr>
                <w:rFonts w:eastAsia="Times New Roman"/>
              </w:rPr>
            </w:pPr>
            <w:hyperlink r:id="rId51" w:tgtFrame="_blank" w:history="1">
              <w:r>
                <w:rPr>
                  <w:rStyle w:val="a3"/>
                  <w:rFonts w:eastAsia="Times New Roman"/>
                  <w:b/>
                  <w:bCs/>
                  <w:color w:val="555555"/>
                  <w:sz w:val="27"/>
                  <w:szCs w:val="27"/>
                  <w:u w:val="none"/>
                </w:rPr>
                <w:t xml:space="preserve">Должен ли сотрудник федерального государственного бюджетного учреждения ежегодно повышать квалификацию по противодействию коррупции? </w:t>
              </w:r>
            </w:hyperlink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tbl>
            <w:tblPr>
              <w:tblW w:w="8100" w:type="dxa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251371">
              <w:tc>
                <w:tcPr>
                  <w:tcW w:w="7650" w:type="dxa"/>
                  <w:shd w:val="clear" w:color="auto" w:fill="EEEEEE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251371" w:rsidRDefault="0025137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</w:rPr>
                    <w:t xml:space="preserve">Возможности: законодательство не предусматривает обязанности сотрудника проходить обучение по противодействию коррупции. </w:t>
                  </w:r>
                </w:p>
              </w:tc>
            </w:tr>
          </w:tbl>
          <w:p w:rsidR="00251371" w:rsidRDefault="002513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vAlign w:val="center"/>
            <w:hideMark/>
          </w:tcPr>
          <w:p w:rsidR="00251371" w:rsidRDefault="00251371">
            <w:pPr>
              <w:spacing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42875" distR="142875" simplePos="0" relativeHeight="251664384" behindDoc="0" locked="0" layoutInCell="1" allowOverlap="0" wp14:anchorId="0B8F7C92" wp14:editId="1AAA91C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90625" cy="800100"/>
                  <wp:effectExtent l="0" t="0" r="9525" b="0"/>
                  <wp:wrapSquare wrapText="bothSides"/>
                  <wp:docPr id="7" name="Рисунок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​ 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На официальном сайте «Онлайнинспекция.РФ» специалисты Федеральной службы по труду и занятости </w:t>
            </w:r>
            <w:hyperlink r:id="rId53" w:history="1">
              <w:r>
                <w:rPr>
                  <w:rStyle w:val="a3"/>
                  <w:color w:val="0000FF"/>
                </w:rPr>
                <w:t>разъяснили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, что согласно </w:t>
            </w:r>
            <w:hyperlink r:id="rId54" w:history="1">
              <w:r>
                <w:rPr>
                  <w:rStyle w:val="a3"/>
                  <w:rFonts w:ascii="Verdana" w:hAnsi="Verdana"/>
                  <w:color w:val="0000FF"/>
                  <w:sz w:val="16"/>
                  <w:szCs w:val="16"/>
                </w:rPr>
                <w:t>ст. 13.3</w:t>
              </w:r>
            </w:hyperlink>
            <w:r>
              <w:rPr>
                <w:rFonts w:ascii="Calibri" w:hAnsi="Calibri" w:cs="Arial"/>
                <w:color w:val="444444"/>
                <w:sz w:val="22"/>
                <w:szCs w:val="22"/>
              </w:rPr>
              <w:t xml:space="preserve"> Федерального закона от 25.12.2008 № 273-ФЗ «О противодействии коррупции» меры по предупреждению коррупции, принимаемые в организации, могут включать: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1) 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2) сотрудничество организации с правоохранительными органами;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3) разработку и внедрение в практику стандартов и процедур, направленных на обеспечение добросовестной работы организации;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4) принятие кодекса этики и служебного поведения работников организации;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5) предотвращение и урегулирование конфликта интересов;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6) недопущение составления неофициальной отчетности и использования поддельных документов.</w:t>
            </w:r>
          </w:p>
          <w:p w:rsidR="00251371" w:rsidRDefault="00251371">
            <w:pPr>
              <w:pStyle w:val="a4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Calibri" w:hAnsi="Calibri" w:cs="Arial"/>
                <w:color w:val="444444"/>
                <w:sz w:val="22"/>
                <w:szCs w:val="22"/>
              </w:rPr>
              <w:t>Таким образом, учреждение может создать комиссию по противодействию коррупции – это его право, а не обязанность. Обязанность или право создать такую комиссию может быть закреплена в антикоррупционной политике, плане противодействия коррупции, антикоррупционной программе или региональных правовых актах.</w:t>
            </w:r>
          </w:p>
        </w:tc>
      </w:tr>
      <w:tr w:rsidR="00251371" w:rsidTr="00251371">
        <w:trPr>
          <w:jc w:val="center"/>
        </w:trPr>
        <w:tc>
          <w:tcPr>
            <w:tcW w:w="9000" w:type="dxa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251371" w:rsidRDefault="002513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30" style="width:467.75pt;height:.75pt" o:hralign="center" o:hrstd="t" o:hr="t" fillcolor="gray" stroked="f"/>
              </w:pict>
            </w:r>
          </w:p>
        </w:tc>
      </w:tr>
    </w:tbl>
    <w:p w:rsidR="00E634B0" w:rsidRDefault="00E634B0">
      <w:bookmarkStart w:id="0" w:name="_GoBack"/>
      <w:bookmarkEnd w:id="0"/>
    </w:p>
    <w:sectPr w:rsidR="00E6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71"/>
    <w:rsid w:val="00251371"/>
    <w:rsid w:val="00E6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371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251371"/>
  </w:style>
  <w:style w:type="character" w:customStyle="1" w:styleId="title-main">
    <w:name w:val="title-main"/>
    <w:basedOn w:val="a0"/>
    <w:rsid w:val="00251371"/>
  </w:style>
  <w:style w:type="paragraph" w:styleId="a5">
    <w:name w:val="Balloon Text"/>
    <w:basedOn w:val="a"/>
    <w:link w:val="a6"/>
    <w:uiPriority w:val="99"/>
    <w:semiHidden/>
    <w:unhideWhenUsed/>
    <w:rsid w:val="00251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371"/>
    <w:rPr>
      <w:rFonts w:ascii="Arial" w:hAnsi="Arial" w:cs="Arial" w:hint="default"/>
      <w:color w:val="00707B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251371"/>
  </w:style>
  <w:style w:type="character" w:customStyle="1" w:styleId="title-main">
    <w:name w:val="title-main"/>
    <w:basedOn w:val="a0"/>
    <w:rsid w:val="00251371"/>
  </w:style>
  <w:style w:type="paragraph" w:styleId="a5">
    <w:name w:val="Balloon Text"/>
    <w:basedOn w:val="a"/>
    <w:link w:val="a6"/>
    <w:uiPriority w:val="99"/>
    <w:semiHidden/>
    <w:unhideWhenUsed/>
    <w:rsid w:val="002513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SPV%26amp%3Bn%3D188265%26amp%3Bdst%3D100002&amp;uid_news=774343" TargetMode="External"/><Relationship Id="rId18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QUEST%26amp%3Bn%3D180501%26amp%3Bdst%3D1000000004&amp;uid_news=774343" TargetMode="External"/><Relationship Id="rId26" Type="http://schemas.openxmlformats.org/officeDocument/2006/relationships/hyperlink" Target="consultantplus://offline/ref=E6A75DEF9D3C724180D4AA64C507450F1C4842335B9B11A0F15BC2EAAD2D1E26782D90AEB1D04B6BB885AE795EF815C196D4F590AD55F549T0T8Q" TargetMode="External"/><Relationship Id="rId39" Type="http://schemas.openxmlformats.org/officeDocument/2006/relationships/hyperlink" Target="consultantplus://offline/ref=7832C69184C2ADF06750D68317D7BBAC52C8BD9BF81A88C62E155C1A91F26FACE19D925E6A27911496472102BD190782004F5F2236BC399F27cEQ" TargetMode="External"/><Relationship Id="rId21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PBI%26amp%3Bn%3D238166%26amp%3Bdst%3D100001&amp;uid_news=774343" TargetMode="External"/><Relationship Id="rId34" Type="http://schemas.openxmlformats.org/officeDocument/2006/relationships/hyperlink" Target="consultantplus://offline/ref=7832C69184C2ADF06750D68317D7BBAC52C8BD9BF81A88C62E155C1A91F26FACE19D925E6A27951695472102BD190782004F5F2236BC399F27cEQ" TargetMode="External"/><Relationship Id="rId42" Type="http://schemas.openxmlformats.org/officeDocument/2006/relationships/hyperlink" Target="consultantplus://offline/ref=7832C69184C2ADF06750D68317D7BBAC52C8BD9BF81A88C62E155C1A91F26FACE19D925E6A249C169A472102BD190782004F5F2236BC399F27cEQ" TargetMode="External"/><Relationship Id="rId47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PRJ%26amp%3Bn%3D197890%26amp%3Bdst%3D100004&amp;uid_news=774335" TargetMode="External"/><Relationship Id="rId50" Type="http://schemas.openxmlformats.org/officeDocument/2006/relationships/hyperlink" Target="consultantplus://offline/ref=6A6EBEBA45920064F2D9E2C4C955BCC859477DA1CD9FC1364767ACBF5BBFC4673123DF22B426038B3A54BDA3B87442343655CB24A3B485hDX5Q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ork.elcode.ru/subscribe/link/?hash=d1e3c9f76d32fb349524fe8392fea58a&amp;id_send=15374&amp;id_email=7312001&amp;url=https%3A%2F%2Flogin.consultant.ru%2Flink%2F%3Freq%3Ddoc%26base%3DLAW%26n%3D358452%26dst%3D1000000002&amp;uid_news=774346" TargetMode="Externa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290680C9B97E3A340A1D5E90070B1949B0105C37799696AC0162C7E5488AE7DC24B3097586E9AD2EE2776D51E01CE6BDDA3D31EB84A54270C9bAQ" TargetMode="External"/><Relationship Id="rId25" Type="http://schemas.openxmlformats.org/officeDocument/2006/relationships/hyperlink" Target="consultantplus://offline/ref=16D83090CAED182FB8E20EBB92E2CDBE2769E09CAC67A9046A082EC2EFBD47348C648F3488815B4FCAD27CE3BBE9FC8074833B87E730DD61OFg6H" TargetMode="External"/><Relationship Id="rId33" Type="http://schemas.openxmlformats.org/officeDocument/2006/relationships/hyperlink" Target="consultantplus://offline/ref=1C3A8A8CC60DB42E862A70D863359C91FC79661496AF569A630C7BA8D5EA61304FA3BC9DF00B4B4697CA69D7EF6B86107549BCE9A6BFB8D0PBk1H" TargetMode="External"/><Relationship Id="rId38" Type="http://schemas.openxmlformats.org/officeDocument/2006/relationships/hyperlink" Target="consultantplus://offline/ref=7832C69184C2ADF06750D68317D7BBAC52CFBD9AFB1788C62E155C1A91F26FACE19D925E6A21961493472102BD190782004F5F2236BC399F27cEQ" TargetMode="External"/><Relationship Id="rId46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680C9B97E3A340A1D5381060B1949B2185337779696AC0162C7E5488AE7DC24B3097586E9AD2AE4776D51E01CE6BDDA3D31EB84A54270C9bAQ" TargetMode="External"/><Relationship Id="rId20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LAW%26amp%3Bn%3D307285%26amp%3Bdst%3D1000000004&amp;uid_news=774343" TargetMode="External"/><Relationship Id="rId29" Type="http://schemas.openxmlformats.org/officeDocument/2006/relationships/hyperlink" Target="consultantplus://offline/ref=E6A75DEF9D3C724180D4AA64C507450F1C484E3C5F9811A0F15BC2EAAD2D1E26782D90A6BA841A2FEE83FB2D04AD10DE91CAF7T9T8Q" TargetMode="External"/><Relationship Id="rId41" Type="http://schemas.openxmlformats.org/officeDocument/2006/relationships/hyperlink" Target="consultantplus://offline/ref=7832C69184C2ADF06750D68317D7BBAC52C8BD9BF81A88C62E155C1A91F26FACE19D925E6A249C1690472102BD190782004F5F2236BC399F27cEQ" TargetMode="External"/><Relationship Id="rId54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LAW%26amp%3Bn%3D351246%26amp%3Bdst%3D92&amp;uid_news=774349" TargetMode="External"/><Relationship Id="rId1" Type="http://schemas.openxmlformats.org/officeDocument/2006/relationships/styles" Target="styles.xml"/><Relationship Id="rId6" Type="http://schemas.openxmlformats.org/officeDocument/2006/relationships/image" Target="cid:0dcd0695d25316e3a466b0441141c5cf@swift.generated" TargetMode="External"/><Relationship Id="rId11" Type="http://schemas.openxmlformats.org/officeDocument/2006/relationships/hyperlink" Target="http://work.elcode.ru/subscribe/link/?hash=d1e3c9f76d32fb349524fe8392fea58a&amp;id_send=15374&amp;id_email=7312001&amp;url=https%3A%2F%2Flogin.consultant.ru%2Flink%2F%3Freq%3Ddoc%26base%3DSPV%26n%3D188265%26dst%3D100002&amp;uid_news=774343" TargetMode="External"/><Relationship Id="rId24" Type="http://schemas.openxmlformats.org/officeDocument/2006/relationships/hyperlink" Target="consultantplus://offline/ref=F56DCFE0B389B6922A616219D260EB1C48E4E8DEF286708A66A024A4F3FBC111ECB18563A85FB4AF9AE16AC2AA0D5B8E0DD3EAE864DF13EBu9f6H" TargetMode="External"/><Relationship Id="rId32" Type="http://schemas.openxmlformats.org/officeDocument/2006/relationships/image" Target="media/image5.jpeg"/><Relationship Id="rId37" Type="http://schemas.openxmlformats.org/officeDocument/2006/relationships/hyperlink" Target="consultantplus://offline/ref=7832C69184C2ADF06750D68317D7BBAC52C8BD9BF81A88C62E155C1A91F26FACE19D925E6A2797179B472102BD190782004F5F2236BC399F27cEQ" TargetMode="External"/><Relationship Id="rId40" Type="http://schemas.openxmlformats.org/officeDocument/2006/relationships/hyperlink" Target="consultantplus://offline/ref=7832C69184C2ADF06750D68317D7BBAC52C8BD9BF81A88C62E155C1A91F26FACE19D925E6A249D1395472102BD190782004F5F2236BC399F27cEQ" TargetMode="External"/><Relationship Id="rId45" Type="http://schemas.openxmlformats.org/officeDocument/2006/relationships/hyperlink" Target="http://work.elcode.ru/subscribe/link/?hash=d1e3c9f76d32fb349524fe8392fea58a&amp;id_send=15374&amp;id_email=7312001&amp;url=https%3A%2F%2Flogin.consultant.ru%2Flink%2F%3Freq%3Ddoc%26base%3DPRJ%26n%3D197890%26dst%3D100004&amp;uid_news=774335" TargetMode="External"/><Relationship Id="rId53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PKBO%26amp%3Bn%3D40159%26amp%3Bdst%3D100003&amp;uid_news=774349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90680C9B97E3A340A1D5381060B1949B2185337779696AC0162C7E5488AE7DC24B3097586E9AD2DEC776D51E01CE6BDDA3D31EB84A54270C9bAQ" TargetMode="External"/><Relationship Id="rId23" Type="http://schemas.openxmlformats.org/officeDocument/2006/relationships/image" Target="media/image4.jpeg"/><Relationship Id="rId28" Type="http://schemas.openxmlformats.org/officeDocument/2006/relationships/hyperlink" Target="consultantplus://offline/ref=E6A75DEF9D3C724180D4AA64C507450F1C4842335B9A11A0F15BC2EAAD2D1E26782D90AEB1D04B6BB885AE795EF815C196D4F590AD55F549T0T8Q" TargetMode="External"/><Relationship Id="rId36" Type="http://schemas.openxmlformats.org/officeDocument/2006/relationships/hyperlink" Target="consultantplus://offline/ref=7832C69184C2ADF06750D68317D7BBAC52C8BD9BF81A88C62E155C1A91F26FACE19D925E6A249D1395472102BD190782004F5F2236BC399F27cEQ" TargetMode="External"/><Relationship Id="rId49" Type="http://schemas.openxmlformats.org/officeDocument/2006/relationships/hyperlink" Target="consultantplus://offline/ref=6A6EBEBA45920064F2D9FED7D455BCC85D467DAEC7949C3C4F3EA0BD5CB09B70366AD323B426038F370BB8B6A92C4E302D4BC332BFB687D7h5X3Q" TargetMode="External"/><Relationship Id="rId10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LAW%26amp%3Bn%3D350056%26amp%3Bdst%3D1000000005&amp;uid_news=774346" TargetMode="External"/><Relationship Id="rId19" Type="http://schemas.openxmlformats.org/officeDocument/2006/relationships/hyperlink" Target="consultantplus://offline/ref=290680C9B97E3A340A1D5E90070B1949B015533D709A96AC0162C7E5488AE7DC24B3097585EDAE2EEE286844F144EAB9C12339FD98A740C7b2Q" TargetMode="External"/><Relationship Id="rId31" Type="http://schemas.openxmlformats.org/officeDocument/2006/relationships/hyperlink" Target="http://work.elcode.ru/subscribe/link/?hash=d1e3c9f76d32fb349524fe8392fea58a&amp;id_send=15374&amp;id_email=7312001&amp;url=https%3A%2F%2Flogin.consultant.ru%2Flink%2F%3Freq%3Ddoc%26base%3DLAW%26n%3D359225%26dst%3D100003&amp;uid_news=774338" TargetMode="External"/><Relationship Id="rId44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PBI%26amp%3Bn%3D252962%26amp%3Bdst%3D100001&amp;uid_news=774338" TargetMode="External"/><Relationship Id="rId52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ork.elcode.ru/subscribe/link/?hash=d1e3c9f76d32fb349524fe8392fea58a&amp;id_send=15374&amp;id_email=7312001&amp;url=https%3A%2F%2Flogin.consultant.ru%2Flink%2F%3Freq%3Ddoc%26amp%3Bbase%3DLAW%26amp%3Bn%3D358452%26amp%3Bdst%3D100001&amp;uid_news=774346" TargetMode="External"/><Relationship Id="rId14" Type="http://schemas.openxmlformats.org/officeDocument/2006/relationships/hyperlink" Target="consultantplus://offline/ref=290680C9B97E3A340A1D5381060B1949B2185337779696AC0162C7E5488AE7DC24B3097586E9AD2DE2776D51E01CE6BDDA3D31EB84A54270C9bAQ" TargetMode="External"/><Relationship Id="rId22" Type="http://schemas.openxmlformats.org/officeDocument/2006/relationships/hyperlink" Target="http://work.elcode.ru/subscribe/link/?hash=d1e3c9f76d32fb349524fe8392fea58a&amp;id_send=15374&amp;id_email=7312001&amp;url=https%3A%2F%2Flogin.consultant.ru%2Flink%2F%3Freq%3Ddoc%26base%3DLAW%26n%3D359701%26dst%3D100002&amp;uid_news=774340" TargetMode="External"/><Relationship Id="rId27" Type="http://schemas.openxmlformats.org/officeDocument/2006/relationships/hyperlink" Target="consultantplus://offline/ref=E6A75DEF9D3C724180D4AA64C507450F1C48483D5F9F11A0F15BC2EAAD2D1E26782D90AEB1D04B6ABB85AE795EF815C196D4F590AD55F549T0T8Q" TargetMode="External"/><Relationship Id="rId30" Type="http://schemas.openxmlformats.org/officeDocument/2006/relationships/hyperlink" Target="consultantplus://offline/ref=E6A75DEF9D3C724180D4AA64C507450F1C484E3C589811A0F15BC2EAAD2D1E26782D90AEB1D04B6BBE85AE795EF815C196D4F590AD55F549T0T8Q" TargetMode="External"/><Relationship Id="rId35" Type="http://schemas.openxmlformats.org/officeDocument/2006/relationships/hyperlink" Target="consultantplus://offline/ref=7832C69184C2ADF06750D68317D7BBAC52C8BD9BF81A88C62E155C1A91F26FACE19D925E6A27961596472102BD190782004F5F2236BC399F27cEQ" TargetMode="External"/><Relationship Id="rId43" Type="http://schemas.openxmlformats.org/officeDocument/2006/relationships/hyperlink" Target="consultantplus://offline/ref=7832C69184C2ADF06750D68317D7BBAC52C8BD9BF81A88C62E155C1A91F26FACE19D925E6A249C179A472102BD190782004F5F2236BC399F27cEQ" TargetMode="External"/><Relationship Id="rId48" Type="http://schemas.openxmlformats.org/officeDocument/2006/relationships/hyperlink" Target="consultantplus://offline/ref=6191139E8E11DBA81230E308114EFACA67A5BD58E9275423320E71417D22CAE1BE2DE862E4432D537BA0DFBE1CC8A5FA14A81A7F66FE73A6DF7884D7s5j7J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ork.elcode.ru/subscribe/link/?hash=d1e3c9f76d32fb349524fe8392fea58a&amp;id_send=15374&amp;id_email=7312001&amp;url=https%3A%2F%2Flogin.consultant.ru%2Flink%2F%3Freq%3Ddoc%26base%3DPKBO%26n%3D40159%26dst%3D100003&amp;uid_news=77434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16415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Брилева (Скрыпникова) Екатерина Анатольевна</dc:creator>
  <cp:lastModifiedBy>Брилева (Скрыпникова) Екатерина Анатольевна</cp:lastModifiedBy>
  <cp:revision>1</cp:revision>
  <dcterms:created xsi:type="dcterms:W3CDTF">2020-08-20T08:42:00Z</dcterms:created>
  <dcterms:modified xsi:type="dcterms:W3CDTF">2020-08-20T08:43:00Z</dcterms:modified>
</cp:coreProperties>
</file>